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77777777" w:rsidR="00A160B2" w:rsidRDefault="00A160B2" w:rsidP="00A160B2">
      <w:pPr>
        <w:spacing w:after="480"/>
      </w:pPr>
      <w:r>
        <w:rPr>
          <w:rFonts w:ascii="Arial Black" w:hAnsi="Arial Black"/>
          <w:noProof/>
          <w:color w:val="999999"/>
          <w:sz w:val="36"/>
          <w:szCs w:val="36"/>
          <w:lang w:eastAsia="en-GB"/>
        </w:rPr>
        <w:drawing>
          <wp:inline distT="0" distB="0" distL="0" distR="0" wp14:anchorId="633373E7" wp14:editId="47F2623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A160B2" w14:paraId="3E9231EB" w14:textId="77777777" w:rsidTr="00A360D6">
        <w:trPr>
          <w:tblHeader/>
        </w:trPr>
        <w:tc>
          <w:tcPr>
            <w:tcW w:w="3397"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12" w:type="dxa"/>
            <w:tcBorders>
              <w:bottom w:val="single" w:sz="18" w:space="0" w:color="auto"/>
            </w:tcBorders>
          </w:tcPr>
          <w:p w14:paraId="55A88F66" w14:textId="2F6F43CE" w:rsidR="00A160B2" w:rsidRPr="00A160B2" w:rsidRDefault="00CE4DD2" w:rsidP="00CE4DD2">
            <w:pPr>
              <w:pStyle w:val="Heading1"/>
              <w:outlineLvl w:val="0"/>
              <w:rPr>
                <w:color w:val="0000FF"/>
                <w:szCs w:val="24"/>
              </w:rPr>
            </w:pPr>
            <w:r>
              <w:t>Pension Board</w:t>
            </w:r>
            <w:r w:rsidR="00A160B2">
              <w:t xml:space="preserve"> </w:t>
            </w:r>
          </w:p>
        </w:tc>
      </w:tr>
      <w:tr w:rsidR="00A160B2" w14:paraId="5281F5A9" w14:textId="77777777" w:rsidTr="00A360D6">
        <w:tc>
          <w:tcPr>
            <w:tcW w:w="3397"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12" w:type="dxa"/>
            <w:tcBorders>
              <w:top w:val="single" w:sz="18" w:space="0" w:color="auto"/>
            </w:tcBorders>
          </w:tcPr>
          <w:p w14:paraId="495EBCE8" w14:textId="55B3DD97" w:rsidR="00A160B2" w:rsidRDefault="005203E2" w:rsidP="006C3150">
            <w:pPr>
              <w:pStyle w:val="Infotext"/>
              <w:rPr>
                <w:rFonts w:cs="Arial"/>
              </w:rPr>
            </w:pPr>
            <w:r>
              <w:rPr>
                <w:rFonts w:cs="Arial"/>
              </w:rPr>
              <w:t>1 December</w:t>
            </w:r>
            <w:r w:rsidR="00CE4DD2">
              <w:rPr>
                <w:rFonts w:cs="Arial"/>
              </w:rPr>
              <w:t xml:space="preserve"> 202</w:t>
            </w:r>
            <w:r w:rsidR="00BE44C6">
              <w:rPr>
                <w:rFonts w:cs="Arial"/>
              </w:rPr>
              <w:t>2</w:t>
            </w:r>
          </w:p>
        </w:tc>
      </w:tr>
      <w:tr w:rsidR="00A160B2" w14:paraId="79B879D4" w14:textId="77777777" w:rsidTr="00A360D6">
        <w:tc>
          <w:tcPr>
            <w:tcW w:w="3397"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12" w:type="dxa"/>
          </w:tcPr>
          <w:p w14:paraId="5914456E" w14:textId="35EEB81A" w:rsidR="00A160B2" w:rsidRDefault="00040E0E" w:rsidP="00CE4DD2">
            <w:pPr>
              <w:pStyle w:val="Infotext"/>
              <w:rPr>
                <w:rFonts w:cs="Arial"/>
              </w:rPr>
            </w:pPr>
            <w:r>
              <w:rPr>
                <w:rFonts w:cs="Arial"/>
              </w:rPr>
              <w:t xml:space="preserve">2022 Triennial Valuation </w:t>
            </w:r>
            <w:r w:rsidR="000551DE">
              <w:rPr>
                <w:rFonts w:cs="Arial"/>
              </w:rPr>
              <w:t xml:space="preserve"> </w:t>
            </w:r>
          </w:p>
        </w:tc>
      </w:tr>
      <w:tr w:rsidR="00A160B2" w14:paraId="3A5E0F07" w14:textId="77777777" w:rsidTr="00A360D6">
        <w:tc>
          <w:tcPr>
            <w:tcW w:w="3397"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12" w:type="dxa"/>
          </w:tcPr>
          <w:p w14:paraId="626616F3" w14:textId="77777777" w:rsidR="00A160B2" w:rsidRDefault="00CE4DD2" w:rsidP="00CE4DD2">
            <w:pPr>
              <w:pStyle w:val="Infotext"/>
              <w:rPr>
                <w:rFonts w:cs="Arial"/>
              </w:rPr>
            </w:pPr>
            <w:r>
              <w:rPr>
                <w:rFonts w:cs="Arial"/>
              </w:rPr>
              <w:t>Dawn Calvert – Director of Finance and Assurance</w:t>
            </w:r>
          </w:p>
          <w:p w14:paraId="3CF266C9" w14:textId="4A0CA6C1" w:rsidR="00AE3DBB" w:rsidRDefault="00AE3DBB" w:rsidP="00CE4DD2">
            <w:pPr>
              <w:pStyle w:val="Infotext"/>
              <w:rPr>
                <w:rFonts w:cs="Arial"/>
              </w:rPr>
            </w:pPr>
          </w:p>
        </w:tc>
      </w:tr>
      <w:tr w:rsidR="00A160B2" w14:paraId="7AFCAE74" w14:textId="77777777" w:rsidTr="00A360D6">
        <w:tc>
          <w:tcPr>
            <w:tcW w:w="3397"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12" w:type="dxa"/>
          </w:tcPr>
          <w:p w14:paraId="3AEDA73A" w14:textId="2DD57228" w:rsidR="00440519" w:rsidRDefault="00A160B2" w:rsidP="00440519">
            <w:pPr>
              <w:pStyle w:val="Infotext"/>
              <w:rPr>
                <w:rFonts w:cs="Arial"/>
              </w:rPr>
            </w:pPr>
            <w:r>
              <w:rPr>
                <w:rFonts w:cs="Arial"/>
              </w:rPr>
              <w:t>No</w:t>
            </w:r>
            <w:r w:rsidR="00440519">
              <w:rPr>
                <w:rFonts w:cs="Arial"/>
              </w:rPr>
              <w:t xml:space="preserve"> </w:t>
            </w:r>
            <w:r w:rsidR="00440519">
              <w:rPr>
                <w:rFonts w:cs="Arial"/>
                <w:szCs w:val="28"/>
              </w:rPr>
              <w:t xml:space="preserve">- except for Appendix 1 which </w:t>
            </w:r>
            <w:r w:rsidR="00AE3DBB">
              <w:rPr>
                <w:rFonts w:cs="Arial"/>
                <w:szCs w:val="28"/>
              </w:rPr>
              <w:t>is e</w:t>
            </w:r>
            <w:r w:rsidR="00AE3DBB" w:rsidRPr="00451341">
              <w:rPr>
                <w:rFonts w:cs="Arial"/>
                <w:szCs w:val="28"/>
              </w:rPr>
              <w:t>xempt</w:t>
            </w:r>
            <w:r w:rsidR="00440519" w:rsidRPr="00451341">
              <w:rPr>
                <w:rFonts w:cs="Arial"/>
                <w:szCs w:val="28"/>
              </w:rPr>
              <w:t xml:space="preserve"> from publication under paragraph 3, Part 1 of Schedule 12A to the Local Government Act 1972 (as amended) as it contains information relating to the financial or business affairs of any </w:t>
            </w:r>
            <w:proofErr w:type="gramStart"/>
            <w:r w:rsidR="00440519" w:rsidRPr="00451341">
              <w:rPr>
                <w:rFonts w:cs="Arial"/>
                <w:szCs w:val="28"/>
              </w:rPr>
              <w:t>particular person</w:t>
            </w:r>
            <w:proofErr w:type="gramEnd"/>
            <w:r w:rsidR="00440519" w:rsidRPr="00451341">
              <w:rPr>
                <w:rFonts w:cs="Arial"/>
                <w:szCs w:val="28"/>
              </w:rPr>
              <w:t xml:space="preserve"> (including the authority holding that information)</w:t>
            </w:r>
          </w:p>
          <w:p w14:paraId="4C873B59" w14:textId="77777777" w:rsidR="00A160B2" w:rsidRDefault="00A160B2" w:rsidP="00CE4DD2">
            <w:pPr>
              <w:pStyle w:val="Infotext"/>
              <w:rPr>
                <w:rFonts w:cs="Arial"/>
              </w:rPr>
            </w:pPr>
          </w:p>
        </w:tc>
      </w:tr>
      <w:tr w:rsidR="00A160B2" w14:paraId="521D9222" w14:textId="77777777" w:rsidTr="00A360D6">
        <w:tc>
          <w:tcPr>
            <w:tcW w:w="3397"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12" w:type="dxa"/>
          </w:tcPr>
          <w:p w14:paraId="6CD568AC" w14:textId="5CCCC410" w:rsidR="00A160B2" w:rsidRPr="00AE3DBB" w:rsidRDefault="00367CCA" w:rsidP="006C3150">
            <w:pPr>
              <w:pStyle w:val="Infotext"/>
              <w:rPr>
                <w:bCs/>
              </w:rPr>
            </w:pPr>
            <w:r w:rsidRPr="00AE3DBB">
              <w:rPr>
                <w:rFonts w:cs="Arial"/>
                <w:bCs/>
                <w:szCs w:val="24"/>
              </w:rPr>
              <w:t>Not applicable</w:t>
            </w:r>
          </w:p>
        </w:tc>
      </w:tr>
      <w:tr w:rsidR="00A160B2" w14:paraId="7C35C184" w14:textId="77777777" w:rsidTr="00A360D6">
        <w:tc>
          <w:tcPr>
            <w:tcW w:w="3397" w:type="dxa"/>
          </w:tcPr>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12" w:type="dxa"/>
          </w:tcPr>
          <w:p w14:paraId="05375D08" w14:textId="37F8A185" w:rsidR="00440519" w:rsidRDefault="000551DE" w:rsidP="00440519">
            <w:pPr>
              <w:pStyle w:val="Infotext"/>
            </w:pPr>
            <w:r>
              <w:t>Appendix 1</w:t>
            </w:r>
            <w:r w:rsidR="00040E0E">
              <w:t xml:space="preserve">: </w:t>
            </w:r>
            <w:r w:rsidR="00440519">
              <w:t>(EXEMPT) Initial Valuation Results</w:t>
            </w:r>
          </w:p>
          <w:p w14:paraId="4C232B02" w14:textId="3AAC75FE" w:rsidR="00A160B2" w:rsidRDefault="00440519" w:rsidP="00440519">
            <w:pPr>
              <w:pStyle w:val="Infotext"/>
            </w:pPr>
            <w:r>
              <w:t xml:space="preserve">Appendix 2: </w:t>
            </w:r>
            <w:r w:rsidR="00040E0E">
              <w:t>Draft Funding Strategy Statement</w:t>
            </w:r>
            <w:r w:rsidR="000551DE">
              <w:t xml:space="preserve">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A160B2" w14:paraId="332F8595" w14:textId="77777777" w:rsidTr="00A360D6">
        <w:trPr>
          <w:tblHeader/>
        </w:trPr>
        <w:tc>
          <w:tcPr>
            <w:tcW w:w="8309" w:type="dxa"/>
            <w:tcBorders>
              <w:top w:val="nil"/>
              <w:left w:val="nil"/>
              <w:bottom w:val="single" w:sz="4" w:space="0" w:color="auto"/>
              <w:right w:val="nil"/>
            </w:tcBorders>
          </w:tcPr>
          <w:p w14:paraId="17E5B1F7" w14:textId="77777777" w:rsidR="00AE3DBB" w:rsidRDefault="00AE3DBB" w:rsidP="00912904">
            <w:pPr>
              <w:pStyle w:val="Heading2"/>
              <w:spacing w:before="240" w:after="240"/>
            </w:pPr>
          </w:p>
          <w:p w14:paraId="47AF8288" w14:textId="010E2D1F" w:rsidR="00A160B2" w:rsidRDefault="00A160B2" w:rsidP="00912904">
            <w:pPr>
              <w:pStyle w:val="Heading2"/>
              <w:spacing w:before="240" w:after="240"/>
            </w:pPr>
            <w:r>
              <w:t>Section 1 – Summary and Recommendations</w:t>
            </w:r>
          </w:p>
        </w:tc>
      </w:tr>
      <w:tr w:rsidR="00A160B2" w14:paraId="281F4D12" w14:textId="77777777" w:rsidTr="00A360D6">
        <w:trPr>
          <w:tblHeader/>
        </w:trPr>
        <w:tc>
          <w:tcPr>
            <w:tcW w:w="8309" w:type="dxa"/>
            <w:tcBorders>
              <w:left w:val="nil"/>
              <w:bottom w:val="nil"/>
              <w:right w:val="nil"/>
            </w:tcBorders>
          </w:tcPr>
          <w:p w14:paraId="2C9E4A81" w14:textId="5BE9FC3D" w:rsidR="00A160B2" w:rsidRDefault="000551DE" w:rsidP="00A160B2">
            <w:r w:rsidRPr="005F307D">
              <w:rPr>
                <w:szCs w:val="24"/>
              </w:rPr>
              <w:t xml:space="preserve">This report summarises </w:t>
            </w:r>
            <w:r w:rsidR="00040E0E">
              <w:rPr>
                <w:szCs w:val="24"/>
              </w:rPr>
              <w:t xml:space="preserve">progress made to date in respect of the 2022 triennial valuation and consults the Board about the draft Funding Strategy Statement. </w:t>
            </w:r>
          </w:p>
          <w:p w14:paraId="53358B31" w14:textId="77777777" w:rsidR="00A360D6" w:rsidRDefault="00A360D6" w:rsidP="00A160B2">
            <w:pPr>
              <w:rPr>
                <w:rFonts w:ascii="Arial Bold" w:hAnsi="Arial Bold"/>
                <w:b/>
                <w:sz w:val="28"/>
              </w:rPr>
            </w:pPr>
          </w:p>
          <w:p w14:paraId="4F9D0A08" w14:textId="77777777" w:rsidR="00A160B2" w:rsidRPr="00A160B2" w:rsidRDefault="00A160B2" w:rsidP="00A160B2">
            <w:pPr>
              <w:rPr>
                <w:rFonts w:ascii="Arial Bold" w:hAnsi="Arial Bold"/>
                <w:b/>
                <w:sz w:val="28"/>
              </w:rPr>
            </w:pPr>
            <w:r w:rsidRPr="00A160B2">
              <w:rPr>
                <w:rFonts w:ascii="Arial Bold" w:hAnsi="Arial Bold"/>
                <w:b/>
                <w:sz w:val="28"/>
              </w:rPr>
              <w:t xml:space="preserve">Recommendations: </w:t>
            </w:r>
          </w:p>
          <w:p w14:paraId="3E660D3D" w14:textId="77777777" w:rsidR="00040E0E" w:rsidRPr="00040E0E" w:rsidRDefault="00A360D6" w:rsidP="00A160B2">
            <w:pPr>
              <w:rPr>
                <w:szCs w:val="24"/>
              </w:rPr>
            </w:pPr>
            <w:r>
              <w:t xml:space="preserve">The </w:t>
            </w:r>
            <w:r w:rsidRPr="00040E0E">
              <w:rPr>
                <w:szCs w:val="24"/>
              </w:rPr>
              <w:t>Board is requested to</w:t>
            </w:r>
            <w:r w:rsidR="00040E0E" w:rsidRPr="00040E0E">
              <w:rPr>
                <w:szCs w:val="24"/>
              </w:rPr>
              <w:t>:</w:t>
            </w:r>
          </w:p>
          <w:p w14:paraId="564B4FAB" w14:textId="5F84EB49" w:rsidR="00A160B2" w:rsidRPr="00440519" w:rsidRDefault="000551DE" w:rsidP="00040E0E">
            <w:pPr>
              <w:pStyle w:val="ListParagraph"/>
              <w:numPr>
                <w:ilvl w:val="0"/>
                <w:numId w:val="39"/>
              </w:numPr>
              <w:rPr>
                <w:sz w:val="24"/>
                <w:szCs w:val="24"/>
              </w:rPr>
            </w:pPr>
            <w:r w:rsidRPr="00440519">
              <w:rPr>
                <w:sz w:val="24"/>
                <w:szCs w:val="24"/>
              </w:rPr>
              <w:t>note the report</w:t>
            </w:r>
            <w:r w:rsidR="0075614B" w:rsidRPr="00440519">
              <w:rPr>
                <w:sz w:val="24"/>
                <w:szCs w:val="24"/>
              </w:rPr>
              <w:t xml:space="preserve">. </w:t>
            </w:r>
          </w:p>
          <w:p w14:paraId="714CBDEE" w14:textId="5CE96680" w:rsidR="00440519" w:rsidRDefault="00040E0E" w:rsidP="00AE3DBB">
            <w:pPr>
              <w:pStyle w:val="ListParagraph"/>
              <w:numPr>
                <w:ilvl w:val="0"/>
                <w:numId w:val="39"/>
              </w:numPr>
            </w:pPr>
            <w:r w:rsidRPr="00440519">
              <w:rPr>
                <w:sz w:val="24"/>
                <w:szCs w:val="24"/>
              </w:rPr>
              <w:t>consider the draft Funding Strategy Statement and make any comments on that for consideration by the Pension Fund Committee.</w:t>
            </w:r>
          </w:p>
        </w:tc>
      </w:tr>
    </w:tbl>
    <w:p w14:paraId="53DC7DE2" w14:textId="77777777" w:rsidR="002A2389" w:rsidRDefault="002A2389" w:rsidP="00A160B2">
      <w:pPr>
        <w:pStyle w:val="Heading2"/>
      </w:pPr>
      <w:r>
        <w:lastRenderedPageBreak/>
        <w:t>Section 2 – Report</w:t>
      </w:r>
    </w:p>
    <w:p w14:paraId="75F8418B" w14:textId="77777777" w:rsidR="004578DE" w:rsidRDefault="004578DE" w:rsidP="004578DE">
      <w:pPr>
        <w:ind w:left="720"/>
        <w:jc w:val="both"/>
      </w:pPr>
    </w:p>
    <w:p w14:paraId="5DC56D49" w14:textId="27EE89DA" w:rsidR="00040E0E" w:rsidRDefault="00040E0E" w:rsidP="00CD5B9B">
      <w:pPr>
        <w:numPr>
          <w:ilvl w:val="0"/>
          <w:numId w:val="16"/>
        </w:numPr>
        <w:ind w:left="284"/>
        <w:jc w:val="both"/>
      </w:pPr>
      <w:r>
        <w:t>T</w:t>
      </w:r>
      <w:r w:rsidRPr="00A80313">
        <w:t xml:space="preserve">he </w:t>
      </w:r>
      <w:r>
        <w:t xml:space="preserve">LGPS Regulations require each LGPS Fund to carry out a triennial valuation of its assets and liabilities. As previously reported, work is underway to produce the valuation, which will report the Fund’s position as </w:t>
      </w:r>
      <w:proofErr w:type="gramStart"/>
      <w:r>
        <w:t>at</w:t>
      </w:r>
      <w:proofErr w:type="gramEnd"/>
      <w:r>
        <w:t xml:space="preserve"> 31 March 2022. The valuation is being carried out by the Fund’s Actuary, Steven Law, of Hymans Robertson LLP. </w:t>
      </w:r>
    </w:p>
    <w:p w14:paraId="052B3163" w14:textId="77777777" w:rsidR="00040E0E" w:rsidRDefault="00040E0E" w:rsidP="00040E0E">
      <w:pPr>
        <w:ind w:left="284"/>
        <w:jc w:val="both"/>
      </w:pPr>
    </w:p>
    <w:p w14:paraId="79FE6E12" w14:textId="4BA6B93A" w:rsidR="00040E0E" w:rsidRDefault="00040E0E" w:rsidP="00040E0E">
      <w:pPr>
        <w:numPr>
          <w:ilvl w:val="0"/>
          <w:numId w:val="16"/>
        </w:numPr>
        <w:ind w:left="284"/>
        <w:jc w:val="both"/>
      </w:pPr>
      <w:r>
        <w:t>At the end of the process, the actuary will produce a report setting out details of the Fund’s assets and liabilities at the valuation date, and the probability of the scheme being fully funded in the future. The actuary will also issue a Rates and Adjustments Certificate, which will set out details of the required employer contributions for each of the Fund’s employers for the three years 1 April 2023 to 31 March 2026. The final report will be submitted to the Pension Fund Committee in March 2023.</w:t>
      </w:r>
    </w:p>
    <w:p w14:paraId="06183A33" w14:textId="77777777" w:rsidR="00040E0E" w:rsidRDefault="00040E0E" w:rsidP="00040E0E">
      <w:pPr>
        <w:pStyle w:val="ListParagraph"/>
      </w:pPr>
    </w:p>
    <w:p w14:paraId="74E4A28C" w14:textId="689097D1" w:rsidR="00040E0E" w:rsidRDefault="00040E0E" w:rsidP="00040E0E">
      <w:pPr>
        <w:numPr>
          <w:ilvl w:val="0"/>
          <w:numId w:val="16"/>
        </w:numPr>
        <w:ind w:left="284"/>
        <w:jc w:val="both"/>
      </w:pPr>
      <w:r>
        <w:t xml:space="preserve">The </w:t>
      </w:r>
      <w:r w:rsidR="004A6EB1">
        <w:t xml:space="preserve">Pension Fund </w:t>
      </w:r>
      <w:r>
        <w:t>Committee has to date received briefings and reports about the Valuation process as follows</w:t>
      </w:r>
    </w:p>
    <w:p w14:paraId="42A02CF0" w14:textId="23B98A5B" w:rsidR="00040E0E" w:rsidRPr="004A6EB1" w:rsidRDefault="00040E0E" w:rsidP="00040E0E">
      <w:pPr>
        <w:pStyle w:val="ListParagraph"/>
        <w:numPr>
          <w:ilvl w:val="0"/>
          <w:numId w:val="42"/>
        </w:numPr>
        <w:jc w:val="both"/>
        <w:rPr>
          <w:sz w:val="24"/>
          <w:szCs w:val="24"/>
        </w:rPr>
      </w:pPr>
      <w:r w:rsidRPr="004A6EB1">
        <w:rPr>
          <w:sz w:val="24"/>
          <w:szCs w:val="24"/>
        </w:rPr>
        <w:t>before the meeting on 24 November 2021, a training session setting out the process and timetable for the valuation.</w:t>
      </w:r>
    </w:p>
    <w:p w14:paraId="6DC46F84" w14:textId="252BF380" w:rsidR="00040E0E" w:rsidRPr="004A6EB1" w:rsidRDefault="00040E0E" w:rsidP="00040E0E">
      <w:pPr>
        <w:pStyle w:val="ListParagraph"/>
        <w:numPr>
          <w:ilvl w:val="0"/>
          <w:numId w:val="42"/>
        </w:numPr>
        <w:jc w:val="both"/>
        <w:rPr>
          <w:sz w:val="24"/>
          <w:szCs w:val="24"/>
        </w:rPr>
      </w:pPr>
      <w:r w:rsidRPr="004A6EB1">
        <w:rPr>
          <w:sz w:val="24"/>
          <w:szCs w:val="24"/>
        </w:rPr>
        <w:t>9 March 2022 a report and presentation covering the key assumptions to be used in the Valuation</w:t>
      </w:r>
    </w:p>
    <w:p w14:paraId="31888882" w14:textId="638C3F6B" w:rsidR="00040E0E" w:rsidRPr="004A6EB1" w:rsidRDefault="00040E0E" w:rsidP="00040E0E">
      <w:pPr>
        <w:pStyle w:val="ListParagraph"/>
        <w:numPr>
          <w:ilvl w:val="0"/>
          <w:numId w:val="42"/>
        </w:numPr>
        <w:jc w:val="both"/>
        <w:rPr>
          <w:sz w:val="24"/>
          <w:szCs w:val="24"/>
        </w:rPr>
      </w:pPr>
      <w:r w:rsidRPr="004A6EB1">
        <w:rPr>
          <w:sz w:val="24"/>
          <w:szCs w:val="24"/>
        </w:rPr>
        <w:t>1</w:t>
      </w:r>
      <w:r w:rsidR="004A6EB1">
        <w:rPr>
          <w:sz w:val="24"/>
          <w:szCs w:val="24"/>
        </w:rPr>
        <w:t>3</w:t>
      </w:r>
      <w:r w:rsidRPr="004A6EB1">
        <w:rPr>
          <w:sz w:val="24"/>
          <w:szCs w:val="24"/>
        </w:rPr>
        <w:t xml:space="preserve"> October 2022 a report and presentation detailing the initial “whole fund” results and a proposed contribution strategy for the Council (the main employer, accounting for over 80% of scheme members)</w:t>
      </w:r>
      <w:r w:rsidR="004A6EB1" w:rsidRPr="004A6EB1">
        <w:rPr>
          <w:sz w:val="24"/>
          <w:szCs w:val="24"/>
        </w:rPr>
        <w:t xml:space="preserve"> – see paragraph </w:t>
      </w:r>
      <w:r w:rsidR="00440519">
        <w:rPr>
          <w:sz w:val="24"/>
          <w:szCs w:val="24"/>
        </w:rPr>
        <w:t>4</w:t>
      </w:r>
      <w:r w:rsidR="004A6EB1" w:rsidRPr="004A6EB1">
        <w:rPr>
          <w:sz w:val="24"/>
          <w:szCs w:val="24"/>
        </w:rPr>
        <w:t xml:space="preserve"> below</w:t>
      </w:r>
    </w:p>
    <w:p w14:paraId="11C567B5" w14:textId="3AC96559" w:rsidR="00040E0E" w:rsidRPr="004A6EB1" w:rsidRDefault="00040E0E" w:rsidP="00B630CF">
      <w:pPr>
        <w:pStyle w:val="ListParagraph"/>
        <w:numPr>
          <w:ilvl w:val="0"/>
          <w:numId w:val="42"/>
        </w:numPr>
        <w:jc w:val="both"/>
        <w:rPr>
          <w:sz w:val="24"/>
          <w:szCs w:val="24"/>
        </w:rPr>
      </w:pPr>
      <w:r w:rsidRPr="004A6EB1">
        <w:rPr>
          <w:sz w:val="24"/>
          <w:szCs w:val="24"/>
        </w:rPr>
        <w:t>On 23 November it will be asked to approve the draft Fundin</w:t>
      </w:r>
      <w:r w:rsidR="004A6EB1" w:rsidRPr="004A6EB1">
        <w:rPr>
          <w:sz w:val="24"/>
          <w:szCs w:val="24"/>
        </w:rPr>
        <w:t>g Strategy Statement – see paragraph xx below</w:t>
      </w:r>
    </w:p>
    <w:p w14:paraId="14BEDD18" w14:textId="77777777" w:rsidR="004A6EB1" w:rsidRDefault="004A6EB1" w:rsidP="004A6EB1">
      <w:pPr>
        <w:jc w:val="both"/>
      </w:pPr>
    </w:p>
    <w:p w14:paraId="605E03D2" w14:textId="21C4C4CE" w:rsidR="00040E0E" w:rsidRPr="004A6EB1" w:rsidRDefault="004A6EB1" w:rsidP="004A6EB1">
      <w:pPr>
        <w:jc w:val="both"/>
        <w:rPr>
          <w:b/>
          <w:bCs/>
        </w:rPr>
      </w:pPr>
      <w:r w:rsidRPr="004A6EB1">
        <w:rPr>
          <w:b/>
          <w:bCs/>
        </w:rPr>
        <w:t>Initial Valuation Results</w:t>
      </w:r>
    </w:p>
    <w:p w14:paraId="6C660B1A" w14:textId="77777777" w:rsidR="004A6EB1" w:rsidRDefault="004A6EB1" w:rsidP="004A6EB1">
      <w:pPr>
        <w:jc w:val="both"/>
      </w:pPr>
    </w:p>
    <w:p w14:paraId="5FEE0E3F" w14:textId="453BEC71" w:rsidR="004A6EB1" w:rsidRDefault="004A6EB1" w:rsidP="00040E0E">
      <w:pPr>
        <w:numPr>
          <w:ilvl w:val="0"/>
          <w:numId w:val="16"/>
        </w:numPr>
        <w:ind w:left="284"/>
        <w:jc w:val="both"/>
      </w:pPr>
      <w:r>
        <w:t>These were reported to the Pension Fund Committee on 12</w:t>
      </w:r>
      <w:r w:rsidRPr="004A6EB1">
        <w:rPr>
          <w:vertAlign w:val="superscript"/>
        </w:rPr>
        <w:t>th</w:t>
      </w:r>
      <w:r>
        <w:t xml:space="preserve"> October 2022.</w:t>
      </w:r>
      <w:r w:rsidR="00DE2574">
        <w:t xml:space="preserve"> They indicate that the funding position has improved, to 96% </w:t>
      </w:r>
      <w:proofErr w:type="gramStart"/>
      <w:r w:rsidR="00DE2574">
        <w:t>at</w:t>
      </w:r>
      <w:proofErr w:type="gramEnd"/>
      <w:r w:rsidR="00DE2574">
        <w:t xml:space="preserve"> 31 March 2022, and that the overall position indicated that a reduction in </w:t>
      </w:r>
      <w:r w:rsidR="00AE3DBB">
        <w:t>employer contribution</w:t>
      </w:r>
      <w:r w:rsidR="00DE2574">
        <w:t xml:space="preserve"> rates is sustainable without jeopardising the long term objective of being fully funded in 20 years’ time. </w:t>
      </w:r>
    </w:p>
    <w:p w14:paraId="35517F34" w14:textId="77777777" w:rsidR="00587878" w:rsidRDefault="00587878" w:rsidP="00587878">
      <w:pPr>
        <w:ind w:left="284"/>
        <w:jc w:val="both"/>
      </w:pPr>
    </w:p>
    <w:p w14:paraId="5F266B57" w14:textId="3AC60132" w:rsidR="00587878" w:rsidRDefault="00587878" w:rsidP="00040E0E">
      <w:pPr>
        <w:numPr>
          <w:ilvl w:val="0"/>
          <w:numId w:val="16"/>
        </w:numPr>
        <w:ind w:left="284"/>
        <w:jc w:val="both"/>
      </w:pPr>
      <w:r>
        <w:t xml:space="preserve">To meet the requirements placed upon actuaries, the proposed contribution strategies were “stress tested” against </w:t>
      </w:r>
      <w:proofErr w:type="gramStart"/>
      <w:r>
        <w:t>a number of</w:t>
      </w:r>
      <w:proofErr w:type="gramEnd"/>
      <w:r>
        <w:t xml:space="preserve"> scenarios to ascertain whether these were robust.</w:t>
      </w:r>
    </w:p>
    <w:p w14:paraId="622FF831" w14:textId="77777777" w:rsidR="00DE2574" w:rsidRDefault="00DE2574" w:rsidP="00DE2574">
      <w:pPr>
        <w:ind w:left="284"/>
        <w:jc w:val="both"/>
      </w:pPr>
    </w:p>
    <w:p w14:paraId="1DD5E03A" w14:textId="37314E5C" w:rsidR="004A6EB1" w:rsidRDefault="00DE2574" w:rsidP="00922E2C">
      <w:pPr>
        <w:numPr>
          <w:ilvl w:val="0"/>
          <w:numId w:val="16"/>
        </w:numPr>
        <w:ind w:left="284"/>
        <w:jc w:val="both"/>
      </w:pPr>
      <w:r>
        <w:t xml:space="preserve">The presentation given to the Pension fund Committee by the actuary, Steven Law of Hymans Robertson is attached </w:t>
      </w:r>
      <w:r w:rsidRPr="00DE2574">
        <w:rPr>
          <w:b/>
          <w:bCs/>
        </w:rPr>
        <w:t>at Appendix 1 – EXEMPT.</w:t>
      </w:r>
      <w:r>
        <w:t xml:space="preserve"> To discuss this in detail the Board would need to move into part II.</w:t>
      </w:r>
    </w:p>
    <w:p w14:paraId="23A09854" w14:textId="77777777" w:rsidR="004A6EB1" w:rsidRDefault="004A6EB1" w:rsidP="004A6EB1">
      <w:pPr>
        <w:jc w:val="both"/>
      </w:pPr>
    </w:p>
    <w:p w14:paraId="6EA3DD47" w14:textId="6CA766A2" w:rsidR="00040E0E" w:rsidRPr="00040E0E" w:rsidRDefault="00040E0E" w:rsidP="00040E0E">
      <w:pPr>
        <w:ind w:left="-76"/>
        <w:jc w:val="both"/>
        <w:rPr>
          <w:b/>
          <w:bCs/>
        </w:rPr>
      </w:pPr>
      <w:r w:rsidRPr="00040E0E">
        <w:rPr>
          <w:b/>
          <w:bCs/>
        </w:rPr>
        <w:t xml:space="preserve">Funding Strategy Statement </w:t>
      </w:r>
    </w:p>
    <w:p w14:paraId="5C177732" w14:textId="77777777" w:rsidR="00040E0E" w:rsidRDefault="00040E0E" w:rsidP="00040E0E">
      <w:pPr>
        <w:pStyle w:val="ListParagraph"/>
      </w:pPr>
    </w:p>
    <w:p w14:paraId="005A2C72" w14:textId="762E221E" w:rsidR="004A6EB1" w:rsidRDefault="00040E0E" w:rsidP="00B2098C">
      <w:pPr>
        <w:numPr>
          <w:ilvl w:val="0"/>
          <w:numId w:val="16"/>
        </w:numPr>
        <w:ind w:left="284"/>
        <w:jc w:val="both"/>
      </w:pPr>
      <w:r>
        <w:t xml:space="preserve">A key requirement once the results are known is the approval of a Funding Strategy Statement (FSS) – this document sets out how the Fund proposes to ensure that, over the life of the Fund it will be able to meet its present and future liabilities in full. Hymans Robertson have prepared a draft FSS – this </w:t>
      </w:r>
      <w:r>
        <w:lastRenderedPageBreak/>
        <w:t xml:space="preserve">is attached at </w:t>
      </w:r>
      <w:r w:rsidRPr="004A6EB1">
        <w:rPr>
          <w:b/>
          <w:bCs/>
        </w:rPr>
        <w:t xml:space="preserve">Appendix </w:t>
      </w:r>
      <w:r w:rsidR="00440519">
        <w:rPr>
          <w:b/>
          <w:bCs/>
        </w:rPr>
        <w:t>2</w:t>
      </w:r>
      <w:r>
        <w:t>.  To simplify the FSS, some items previously included in the body of the Statement are now in appendices as follows</w:t>
      </w:r>
    </w:p>
    <w:p w14:paraId="467F17DD" w14:textId="77777777" w:rsidR="004A6EB1" w:rsidRPr="00672FA3" w:rsidRDefault="004A6EB1" w:rsidP="004A6EB1">
      <w:pPr>
        <w:pStyle w:val="ListParagraph"/>
        <w:numPr>
          <w:ilvl w:val="0"/>
          <w:numId w:val="43"/>
        </w:numPr>
        <w:jc w:val="both"/>
        <w:rPr>
          <w:sz w:val="24"/>
          <w:szCs w:val="24"/>
        </w:rPr>
      </w:pPr>
      <w:r w:rsidRPr="00672FA3">
        <w:rPr>
          <w:sz w:val="24"/>
          <w:szCs w:val="24"/>
        </w:rPr>
        <w:t>Regulatory Framework</w:t>
      </w:r>
    </w:p>
    <w:p w14:paraId="14C365EF" w14:textId="77777777" w:rsidR="004A6EB1" w:rsidRPr="00672FA3" w:rsidRDefault="004A6EB1" w:rsidP="004A6EB1">
      <w:pPr>
        <w:pStyle w:val="ListParagraph"/>
        <w:numPr>
          <w:ilvl w:val="0"/>
          <w:numId w:val="43"/>
        </w:numPr>
        <w:jc w:val="both"/>
        <w:rPr>
          <w:sz w:val="24"/>
          <w:szCs w:val="24"/>
        </w:rPr>
      </w:pPr>
      <w:r w:rsidRPr="00672FA3">
        <w:rPr>
          <w:sz w:val="24"/>
          <w:szCs w:val="24"/>
        </w:rPr>
        <w:t>Roles &amp; responsibilities</w:t>
      </w:r>
    </w:p>
    <w:p w14:paraId="272A43D6" w14:textId="77777777" w:rsidR="004A6EB1" w:rsidRPr="00672FA3" w:rsidRDefault="004A6EB1" w:rsidP="004A6EB1">
      <w:pPr>
        <w:pStyle w:val="ListParagraph"/>
        <w:numPr>
          <w:ilvl w:val="0"/>
          <w:numId w:val="43"/>
        </w:numPr>
        <w:jc w:val="both"/>
        <w:rPr>
          <w:sz w:val="24"/>
          <w:szCs w:val="24"/>
        </w:rPr>
      </w:pPr>
      <w:r w:rsidRPr="00672FA3">
        <w:rPr>
          <w:sz w:val="24"/>
          <w:szCs w:val="24"/>
        </w:rPr>
        <w:t>Risks and Controls</w:t>
      </w:r>
    </w:p>
    <w:p w14:paraId="1B79438F" w14:textId="77777777" w:rsidR="004A6EB1" w:rsidRPr="00672FA3" w:rsidRDefault="004A6EB1" w:rsidP="004A6EB1">
      <w:pPr>
        <w:pStyle w:val="ListParagraph"/>
        <w:numPr>
          <w:ilvl w:val="0"/>
          <w:numId w:val="43"/>
        </w:numPr>
        <w:jc w:val="both"/>
        <w:rPr>
          <w:sz w:val="24"/>
          <w:szCs w:val="24"/>
        </w:rPr>
      </w:pPr>
      <w:r w:rsidRPr="00672FA3">
        <w:rPr>
          <w:sz w:val="24"/>
          <w:szCs w:val="24"/>
        </w:rPr>
        <w:t>Actuarial assumptions</w:t>
      </w:r>
    </w:p>
    <w:p w14:paraId="4F48CC01" w14:textId="0856B1E0" w:rsidR="004A6EB1" w:rsidRDefault="004A6EB1" w:rsidP="004A6EB1">
      <w:pPr>
        <w:jc w:val="both"/>
      </w:pPr>
    </w:p>
    <w:p w14:paraId="169356DB" w14:textId="77777777" w:rsidR="004A6EB1" w:rsidRDefault="004A6EB1" w:rsidP="00884307">
      <w:pPr>
        <w:numPr>
          <w:ilvl w:val="0"/>
          <w:numId w:val="16"/>
        </w:numPr>
        <w:ind w:left="284"/>
        <w:jc w:val="both"/>
      </w:pPr>
      <w:r>
        <w:t>The FSS includes some key policies as appendices</w:t>
      </w:r>
    </w:p>
    <w:p w14:paraId="28A12CBC" w14:textId="44F3C9C0" w:rsidR="004A6EB1" w:rsidRPr="004A6EB1" w:rsidRDefault="004A6EB1" w:rsidP="004A6EB1">
      <w:pPr>
        <w:pStyle w:val="ListParagraph"/>
        <w:numPr>
          <w:ilvl w:val="0"/>
          <w:numId w:val="45"/>
        </w:numPr>
        <w:jc w:val="both"/>
        <w:rPr>
          <w:sz w:val="24"/>
          <w:szCs w:val="24"/>
        </w:rPr>
      </w:pPr>
      <w:r w:rsidRPr="004A6EB1">
        <w:rPr>
          <w:sz w:val="24"/>
          <w:szCs w:val="24"/>
        </w:rPr>
        <w:t xml:space="preserve">Cessations </w:t>
      </w:r>
    </w:p>
    <w:p w14:paraId="4A3DF5D9" w14:textId="4FAB1568" w:rsidR="004A6EB1" w:rsidRPr="004A6EB1" w:rsidRDefault="004A6EB1" w:rsidP="004A6EB1">
      <w:pPr>
        <w:pStyle w:val="ListParagraph"/>
        <w:numPr>
          <w:ilvl w:val="0"/>
          <w:numId w:val="45"/>
        </w:numPr>
        <w:jc w:val="both"/>
        <w:rPr>
          <w:sz w:val="24"/>
          <w:szCs w:val="24"/>
        </w:rPr>
      </w:pPr>
      <w:r w:rsidRPr="004A6EB1">
        <w:rPr>
          <w:sz w:val="24"/>
          <w:szCs w:val="24"/>
        </w:rPr>
        <w:t>Contribution Reviews</w:t>
      </w:r>
    </w:p>
    <w:p w14:paraId="460D5F99" w14:textId="77777777" w:rsidR="004A6EB1" w:rsidRPr="004A6EB1" w:rsidRDefault="004A6EB1" w:rsidP="004A6EB1">
      <w:pPr>
        <w:pStyle w:val="ListParagraph"/>
        <w:numPr>
          <w:ilvl w:val="0"/>
          <w:numId w:val="45"/>
        </w:numPr>
        <w:jc w:val="both"/>
        <w:rPr>
          <w:sz w:val="24"/>
          <w:szCs w:val="24"/>
        </w:rPr>
      </w:pPr>
      <w:r w:rsidRPr="004A6EB1">
        <w:rPr>
          <w:sz w:val="24"/>
          <w:szCs w:val="24"/>
        </w:rPr>
        <w:t>Pass Through Arrangements</w:t>
      </w:r>
    </w:p>
    <w:p w14:paraId="0A193B4A" w14:textId="77777777" w:rsidR="004A6EB1" w:rsidRDefault="004A6EB1" w:rsidP="004A6EB1">
      <w:pPr>
        <w:ind w:left="284"/>
        <w:jc w:val="both"/>
      </w:pPr>
      <w:r>
        <w:t>These will clarify and standardise arrangements with any admitted bodies.</w:t>
      </w:r>
    </w:p>
    <w:p w14:paraId="44B01F9F" w14:textId="77777777" w:rsidR="004A6EB1" w:rsidRDefault="004A6EB1" w:rsidP="004A6EB1">
      <w:pPr>
        <w:jc w:val="both"/>
      </w:pPr>
    </w:p>
    <w:p w14:paraId="1EBD6096" w14:textId="0E970964" w:rsidR="004A6EB1" w:rsidRDefault="00040E0E" w:rsidP="00F44CC6">
      <w:pPr>
        <w:numPr>
          <w:ilvl w:val="0"/>
          <w:numId w:val="16"/>
        </w:numPr>
        <w:ind w:left="284"/>
        <w:jc w:val="both"/>
      </w:pPr>
      <w:r>
        <w:t>Before finally approving the FSS, the LGPS Regulations require the Fund to consult with “</w:t>
      </w:r>
      <w:r w:rsidRPr="004A6EB1">
        <w:rPr>
          <w:i/>
          <w:iCs/>
        </w:rPr>
        <w:t>persons the administering authority considers appropriate</w:t>
      </w:r>
      <w:r>
        <w:t>”, and that this must include “…</w:t>
      </w:r>
      <w:r w:rsidRPr="004A6EB1">
        <w:rPr>
          <w:i/>
          <w:iCs/>
        </w:rPr>
        <w:t>meaningful dialogue with representatives of other participating employers</w:t>
      </w:r>
      <w:r>
        <w:t xml:space="preserve">”. </w:t>
      </w:r>
      <w:r w:rsidR="004A6EB1">
        <w:t xml:space="preserve">The Board is one of the parties from which the Committee is seeking views on the proposed FSS. </w:t>
      </w:r>
      <w:r>
        <w:t>To meet this requirement</w:t>
      </w:r>
      <w:r w:rsidR="004A6EB1">
        <w:t xml:space="preserve"> more fully </w:t>
      </w:r>
      <w:r>
        <w:t>an employers’ forum will be held on 8</w:t>
      </w:r>
      <w:r w:rsidRPr="004A6EB1">
        <w:rPr>
          <w:vertAlign w:val="superscript"/>
        </w:rPr>
        <w:t>th</w:t>
      </w:r>
      <w:r>
        <w:t xml:space="preserve"> December 2022, at which Steven Law will present the Valuation results and FSS. This will be an </w:t>
      </w:r>
      <w:r w:rsidR="00AE3DBB">
        <w:t>online</w:t>
      </w:r>
      <w:r>
        <w:t xml:space="preserve"> event which it is hoped will encourage good attendance. We will also publish the document on the Harrow Pension Scheme website</w:t>
      </w:r>
      <w:r w:rsidR="00E31DE8">
        <w:t>.</w:t>
      </w:r>
      <w:r>
        <w:t xml:space="preserve"> </w:t>
      </w:r>
    </w:p>
    <w:p w14:paraId="4120ABEE" w14:textId="77777777" w:rsidR="004A6EB1" w:rsidRDefault="004A6EB1" w:rsidP="004A6EB1">
      <w:pPr>
        <w:ind w:left="284"/>
        <w:jc w:val="both"/>
      </w:pPr>
    </w:p>
    <w:p w14:paraId="21E47802" w14:textId="2B62D6FC" w:rsidR="00040E0E" w:rsidRDefault="00040E0E" w:rsidP="004675C5">
      <w:pPr>
        <w:numPr>
          <w:ilvl w:val="0"/>
          <w:numId w:val="16"/>
        </w:numPr>
        <w:ind w:left="284"/>
        <w:jc w:val="both"/>
      </w:pPr>
      <w:r>
        <w:t>Detailed results for the remaining employers will be available in the last week of November – these will be shared with employers in advance of the employer</w:t>
      </w:r>
      <w:r w:rsidR="00587878">
        <w:t>s’</w:t>
      </w:r>
      <w:r>
        <w:t xml:space="preserve"> forum. Further to the issue reported at the </w:t>
      </w:r>
      <w:r w:rsidR="00E31DE8">
        <w:t xml:space="preserve">Board’s </w:t>
      </w:r>
      <w:r>
        <w:t xml:space="preserve">last meeting, data to make the calculations without the need for a “work around” was finally obtained </w:t>
      </w:r>
      <w:r w:rsidRPr="00D52F09">
        <w:t>from the Avanti Group of academy schools</w:t>
      </w:r>
      <w:r>
        <w:t xml:space="preserve">. </w:t>
      </w:r>
    </w:p>
    <w:p w14:paraId="77D1003B" w14:textId="77777777" w:rsidR="00E31DE8" w:rsidRDefault="00E31DE8" w:rsidP="00E31DE8">
      <w:pPr>
        <w:pStyle w:val="ListParagraph"/>
      </w:pPr>
    </w:p>
    <w:p w14:paraId="0C2451EF" w14:textId="77777777" w:rsidR="00E31DE8" w:rsidRPr="000418B6" w:rsidRDefault="00E31DE8" w:rsidP="00E31DE8">
      <w:pPr>
        <w:jc w:val="both"/>
        <w:rPr>
          <w:b/>
          <w:bCs/>
        </w:rPr>
      </w:pPr>
      <w:r w:rsidRPr="000418B6">
        <w:rPr>
          <w:b/>
          <w:bCs/>
        </w:rPr>
        <w:t>Next Steps</w:t>
      </w:r>
    </w:p>
    <w:p w14:paraId="0BB93664" w14:textId="77777777" w:rsidR="00E31DE8" w:rsidRDefault="00E31DE8" w:rsidP="00E31DE8">
      <w:pPr>
        <w:pStyle w:val="ListParagraph"/>
      </w:pPr>
    </w:p>
    <w:p w14:paraId="6D6ED510" w14:textId="3DE52F35" w:rsidR="00E31DE8" w:rsidRPr="00E31DE8" w:rsidRDefault="00040E0E" w:rsidP="00A244E1">
      <w:pPr>
        <w:numPr>
          <w:ilvl w:val="0"/>
          <w:numId w:val="16"/>
        </w:numPr>
        <w:ind w:left="284"/>
        <w:jc w:val="both"/>
      </w:pPr>
      <w:r w:rsidRPr="00E31DE8">
        <w:rPr>
          <w:szCs w:val="24"/>
        </w:rPr>
        <w:t xml:space="preserve">The actuary is working to produce a </w:t>
      </w:r>
      <w:r w:rsidR="00AE3DBB" w:rsidRPr="00E31DE8">
        <w:rPr>
          <w:szCs w:val="24"/>
        </w:rPr>
        <w:t>long-term</w:t>
      </w:r>
      <w:r w:rsidRPr="00E31DE8">
        <w:rPr>
          <w:szCs w:val="24"/>
        </w:rPr>
        <w:t xml:space="preserve"> cash flow forecast, highlighting </w:t>
      </w:r>
      <w:proofErr w:type="gramStart"/>
      <w:r w:rsidRPr="00E31DE8">
        <w:rPr>
          <w:szCs w:val="24"/>
        </w:rPr>
        <w:t>in particular the</w:t>
      </w:r>
      <w:proofErr w:type="gramEnd"/>
      <w:r w:rsidRPr="00E31DE8">
        <w:rPr>
          <w:szCs w:val="24"/>
        </w:rPr>
        <w:t xml:space="preserve"> potential impact of the likely inflation increase in benefits payable from April 2023 and the reductions in employer contribution rates. This will be used to inform the Investment Strategy Review which will begin in Q1 of 2023. </w:t>
      </w:r>
    </w:p>
    <w:p w14:paraId="7C7DCE4B" w14:textId="77777777" w:rsidR="00E31DE8" w:rsidRPr="00E31DE8" w:rsidRDefault="00E31DE8" w:rsidP="00E31DE8">
      <w:pPr>
        <w:ind w:left="284"/>
        <w:jc w:val="both"/>
      </w:pPr>
    </w:p>
    <w:p w14:paraId="5E729664" w14:textId="178BE8CE" w:rsidR="00040E0E" w:rsidRPr="00E31DE8" w:rsidRDefault="00040E0E" w:rsidP="00E31DE8">
      <w:pPr>
        <w:numPr>
          <w:ilvl w:val="0"/>
          <w:numId w:val="16"/>
        </w:numPr>
        <w:ind w:left="284"/>
        <w:jc w:val="both"/>
      </w:pPr>
      <w:r w:rsidRPr="00E31DE8">
        <w:rPr>
          <w:szCs w:val="24"/>
        </w:rPr>
        <w:t>The timetable for the remainder of the Triennial Valuation process is summarised as follows:</w:t>
      </w:r>
    </w:p>
    <w:p w14:paraId="6D007535" w14:textId="77777777" w:rsidR="00040E0E" w:rsidRPr="000418B6" w:rsidRDefault="00040E0E" w:rsidP="00040E0E">
      <w:pPr>
        <w:pStyle w:val="ListParagraph"/>
        <w:numPr>
          <w:ilvl w:val="0"/>
          <w:numId w:val="38"/>
        </w:numPr>
        <w:ind w:left="1004"/>
        <w:jc w:val="both"/>
        <w:rPr>
          <w:sz w:val="24"/>
          <w:szCs w:val="24"/>
        </w:rPr>
      </w:pPr>
      <w:r w:rsidRPr="000418B6">
        <w:rPr>
          <w:sz w:val="24"/>
          <w:szCs w:val="24"/>
        </w:rPr>
        <w:t>Employer Forum</w:t>
      </w:r>
      <w:r>
        <w:rPr>
          <w:sz w:val="24"/>
          <w:szCs w:val="24"/>
        </w:rPr>
        <w:t xml:space="preserve"> - 8 December 2022</w:t>
      </w:r>
      <w:r w:rsidRPr="000418B6">
        <w:rPr>
          <w:sz w:val="24"/>
          <w:szCs w:val="24"/>
        </w:rPr>
        <w:t xml:space="preserve"> </w:t>
      </w:r>
    </w:p>
    <w:p w14:paraId="459D6E43" w14:textId="77777777" w:rsidR="00040E0E" w:rsidRPr="000418B6" w:rsidRDefault="00040E0E" w:rsidP="00040E0E">
      <w:pPr>
        <w:pStyle w:val="ListParagraph"/>
        <w:numPr>
          <w:ilvl w:val="0"/>
          <w:numId w:val="38"/>
        </w:numPr>
        <w:ind w:left="1004"/>
        <w:jc w:val="both"/>
        <w:rPr>
          <w:sz w:val="24"/>
          <w:szCs w:val="24"/>
        </w:rPr>
      </w:pPr>
      <w:r w:rsidRPr="000418B6">
        <w:rPr>
          <w:sz w:val="24"/>
          <w:szCs w:val="24"/>
        </w:rPr>
        <w:t xml:space="preserve">PF Committee – 29 March 2023 </w:t>
      </w:r>
    </w:p>
    <w:p w14:paraId="439BCB7E" w14:textId="77777777" w:rsidR="00040E0E" w:rsidRPr="000418B6" w:rsidRDefault="00040E0E" w:rsidP="00040E0E">
      <w:pPr>
        <w:pStyle w:val="ListParagraph"/>
        <w:numPr>
          <w:ilvl w:val="1"/>
          <w:numId w:val="38"/>
        </w:numPr>
        <w:ind w:left="1724"/>
        <w:jc w:val="both"/>
        <w:rPr>
          <w:sz w:val="24"/>
          <w:szCs w:val="24"/>
        </w:rPr>
      </w:pPr>
      <w:r w:rsidRPr="000418B6">
        <w:rPr>
          <w:sz w:val="24"/>
          <w:szCs w:val="24"/>
        </w:rPr>
        <w:t xml:space="preserve">Final valuation report </w:t>
      </w:r>
    </w:p>
    <w:p w14:paraId="4ADA81BB" w14:textId="77777777" w:rsidR="00040E0E" w:rsidRPr="000418B6" w:rsidRDefault="00040E0E" w:rsidP="00040E0E">
      <w:pPr>
        <w:pStyle w:val="ListParagraph"/>
        <w:numPr>
          <w:ilvl w:val="1"/>
          <w:numId w:val="38"/>
        </w:numPr>
        <w:ind w:left="1724"/>
        <w:jc w:val="both"/>
        <w:rPr>
          <w:sz w:val="24"/>
          <w:szCs w:val="24"/>
        </w:rPr>
      </w:pPr>
      <w:r w:rsidRPr="000418B6">
        <w:rPr>
          <w:sz w:val="24"/>
          <w:szCs w:val="24"/>
        </w:rPr>
        <w:t>Approval of Funding Strategy Statement</w:t>
      </w:r>
    </w:p>
    <w:p w14:paraId="3BAFBE6C" w14:textId="77777777" w:rsidR="00040E0E" w:rsidRPr="000418B6" w:rsidRDefault="00040E0E" w:rsidP="00040E0E">
      <w:pPr>
        <w:pStyle w:val="ListParagraph"/>
        <w:numPr>
          <w:ilvl w:val="0"/>
          <w:numId w:val="38"/>
        </w:numPr>
        <w:ind w:left="1004"/>
        <w:jc w:val="both"/>
        <w:rPr>
          <w:sz w:val="24"/>
          <w:szCs w:val="24"/>
        </w:rPr>
      </w:pPr>
      <w:r w:rsidRPr="000418B6">
        <w:rPr>
          <w:sz w:val="24"/>
          <w:szCs w:val="24"/>
        </w:rPr>
        <w:t xml:space="preserve">By 31 </w:t>
      </w:r>
      <w:r>
        <w:rPr>
          <w:sz w:val="24"/>
          <w:szCs w:val="24"/>
        </w:rPr>
        <w:t>M</w:t>
      </w:r>
      <w:r w:rsidRPr="000418B6">
        <w:rPr>
          <w:sz w:val="24"/>
          <w:szCs w:val="24"/>
        </w:rPr>
        <w:t xml:space="preserve">arch 2023 </w:t>
      </w:r>
      <w:r>
        <w:rPr>
          <w:sz w:val="24"/>
          <w:szCs w:val="24"/>
        </w:rPr>
        <w:t xml:space="preserve">(statutory deadline) </w:t>
      </w:r>
      <w:r w:rsidRPr="000418B6">
        <w:rPr>
          <w:sz w:val="24"/>
          <w:szCs w:val="24"/>
        </w:rPr>
        <w:t xml:space="preserve">– </w:t>
      </w:r>
      <w:r>
        <w:rPr>
          <w:sz w:val="24"/>
          <w:szCs w:val="24"/>
        </w:rPr>
        <w:t xml:space="preserve">Final Report including </w:t>
      </w:r>
      <w:r w:rsidRPr="000418B6">
        <w:rPr>
          <w:sz w:val="24"/>
          <w:szCs w:val="24"/>
        </w:rPr>
        <w:t>Rates and Adjustments Certificate issued</w:t>
      </w:r>
    </w:p>
    <w:p w14:paraId="602906C1" w14:textId="77777777" w:rsidR="00040E0E" w:rsidRDefault="00040E0E" w:rsidP="00040E0E">
      <w:pPr>
        <w:pStyle w:val="ListParagraph"/>
        <w:numPr>
          <w:ilvl w:val="0"/>
          <w:numId w:val="38"/>
        </w:numPr>
        <w:ind w:left="1004"/>
        <w:jc w:val="both"/>
      </w:pPr>
      <w:r w:rsidRPr="000418B6">
        <w:rPr>
          <w:sz w:val="24"/>
          <w:szCs w:val="24"/>
        </w:rPr>
        <w:t>From 1 April 2023 onwards – new contribution rates payable by employers</w:t>
      </w:r>
      <w:r>
        <w:rPr>
          <w:sz w:val="24"/>
          <w:szCs w:val="24"/>
        </w:rPr>
        <w:t>.</w:t>
      </w:r>
    </w:p>
    <w:p w14:paraId="5F6BD5FD" w14:textId="77777777" w:rsidR="006B5B52" w:rsidRDefault="006B5B52" w:rsidP="006B5B52">
      <w:pPr>
        <w:pStyle w:val="Heading2"/>
      </w:pPr>
      <w:r>
        <w:t>Legal Implications</w:t>
      </w:r>
    </w:p>
    <w:p w14:paraId="56739B89" w14:textId="77777777" w:rsidR="006B5B52" w:rsidRDefault="006B5B52" w:rsidP="006B5B52">
      <w:pPr>
        <w:pStyle w:val="ListParagraph"/>
      </w:pPr>
    </w:p>
    <w:p w14:paraId="6F5E5C69" w14:textId="7206A9D9" w:rsidR="00C305BC" w:rsidRDefault="00FF5D5C" w:rsidP="00A30436">
      <w:pPr>
        <w:numPr>
          <w:ilvl w:val="0"/>
          <w:numId w:val="16"/>
        </w:numPr>
        <w:jc w:val="both"/>
        <w:rPr>
          <w:szCs w:val="24"/>
        </w:rPr>
      </w:pPr>
      <w:r w:rsidRPr="00C305BC">
        <w:rPr>
          <w:szCs w:val="24"/>
        </w:rPr>
        <w:t xml:space="preserve"> </w:t>
      </w:r>
      <w:bookmarkStart w:id="0" w:name="_Hlk107326335"/>
      <w:r w:rsidR="002B4AF4" w:rsidRPr="00C305BC">
        <w:rPr>
          <w:szCs w:val="24"/>
        </w:rPr>
        <w:t>There are no direct legal implications arising from this report.</w:t>
      </w:r>
    </w:p>
    <w:p w14:paraId="04AED2CF" w14:textId="77777777" w:rsidR="00C305BC" w:rsidRDefault="00C305BC" w:rsidP="00C305BC">
      <w:pPr>
        <w:ind w:left="720"/>
        <w:jc w:val="both"/>
        <w:rPr>
          <w:szCs w:val="24"/>
        </w:rPr>
      </w:pPr>
    </w:p>
    <w:p w14:paraId="171CADE6" w14:textId="77777777" w:rsidR="001208EB" w:rsidRPr="001208EB" w:rsidRDefault="001208EB" w:rsidP="001208EB">
      <w:pPr>
        <w:numPr>
          <w:ilvl w:val="0"/>
          <w:numId w:val="16"/>
        </w:numPr>
        <w:jc w:val="both"/>
        <w:rPr>
          <w:szCs w:val="24"/>
        </w:rPr>
      </w:pPr>
      <w:r w:rsidRPr="001208EB">
        <w:rPr>
          <w:szCs w:val="24"/>
        </w:rPr>
        <w:t xml:space="preserve">The terms of reference for the Board include the Board’s role as set out in the following paragraphs. </w:t>
      </w:r>
    </w:p>
    <w:p w14:paraId="4248138A" w14:textId="77777777" w:rsidR="001208EB" w:rsidRDefault="001208EB" w:rsidP="001208EB">
      <w:pPr>
        <w:pStyle w:val="ListParagraph"/>
        <w:rPr>
          <w:szCs w:val="24"/>
        </w:rPr>
      </w:pPr>
    </w:p>
    <w:p w14:paraId="62227DCE" w14:textId="77777777" w:rsidR="001208EB" w:rsidRPr="00B17A17" w:rsidRDefault="001208EB" w:rsidP="001208EB">
      <w:pPr>
        <w:numPr>
          <w:ilvl w:val="0"/>
          <w:numId w:val="16"/>
        </w:numPr>
        <w:jc w:val="both"/>
        <w:rPr>
          <w:szCs w:val="24"/>
        </w:rPr>
      </w:pPr>
      <w:r w:rsidRPr="00B17A17">
        <w:rPr>
          <w:rFonts w:cs="Arial"/>
          <w:color w:val="262626"/>
          <w:szCs w:val="24"/>
          <w:lang w:eastAsia="en-GB"/>
        </w:rPr>
        <w:t>The role of the Board, as defined by sections 5(1) and (2) of the Public Service Pensions Act 2013, is to assist the Administering Authority (London Borough of Harrow) as Scheme Manager in ensuring the effective and efficient governance and administration of the Local Government Pension Scheme (LGPS) including:</w:t>
      </w:r>
    </w:p>
    <w:p w14:paraId="60413E85" w14:textId="77777777" w:rsidR="001208EB" w:rsidRPr="00B17A17" w:rsidRDefault="001208EB" w:rsidP="001208EB">
      <w:pPr>
        <w:pStyle w:val="ListParagraph"/>
        <w:numPr>
          <w:ilvl w:val="0"/>
          <w:numId w:val="34"/>
        </w:numPr>
        <w:shd w:val="clear" w:color="auto" w:fill="FFFFFF"/>
        <w:rPr>
          <w:color w:val="262626"/>
          <w:sz w:val="24"/>
          <w:szCs w:val="24"/>
        </w:rPr>
      </w:pPr>
      <w:r w:rsidRPr="00B17A17">
        <w:rPr>
          <w:color w:val="262626"/>
          <w:sz w:val="24"/>
          <w:szCs w:val="24"/>
        </w:rPr>
        <w:t xml:space="preserve">securing compliance with the LGPS regulations and other legislation relating to the governance and administration of the </w:t>
      </w:r>
      <w:proofErr w:type="gramStart"/>
      <w:r w:rsidRPr="00B17A17">
        <w:rPr>
          <w:color w:val="262626"/>
          <w:sz w:val="24"/>
          <w:szCs w:val="24"/>
        </w:rPr>
        <w:t>LGPS;</w:t>
      </w:r>
      <w:proofErr w:type="gramEnd"/>
    </w:p>
    <w:p w14:paraId="420869BB" w14:textId="77777777" w:rsidR="001208EB" w:rsidRPr="00B17A17" w:rsidRDefault="001208EB" w:rsidP="001208EB">
      <w:pPr>
        <w:pStyle w:val="ListParagraph"/>
        <w:numPr>
          <w:ilvl w:val="0"/>
          <w:numId w:val="34"/>
        </w:numPr>
        <w:shd w:val="clear" w:color="auto" w:fill="FFFFFF"/>
        <w:rPr>
          <w:color w:val="262626"/>
          <w:sz w:val="24"/>
          <w:szCs w:val="24"/>
        </w:rPr>
      </w:pPr>
      <w:r w:rsidRPr="00B17A17">
        <w:rPr>
          <w:color w:val="262626"/>
          <w:sz w:val="24"/>
          <w:szCs w:val="24"/>
        </w:rPr>
        <w:t>securing compliance with requirements imposed in relation to the LGPS by the Pensions Regulator; and</w:t>
      </w:r>
    </w:p>
    <w:p w14:paraId="57CCF69C" w14:textId="77777777" w:rsidR="001208EB" w:rsidRPr="00B17A17" w:rsidRDefault="001208EB" w:rsidP="001208EB">
      <w:pPr>
        <w:pStyle w:val="ListParagraph"/>
        <w:numPr>
          <w:ilvl w:val="0"/>
          <w:numId w:val="34"/>
        </w:numPr>
        <w:shd w:val="clear" w:color="auto" w:fill="FFFFFF"/>
        <w:spacing w:after="160"/>
        <w:rPr>
          <w:color w:val="262626"/>
          <w:sz w:val="24"/>
          <w:szCs w:val="24"/>
        </w:rPr>
      </w:pPr>
      <w:r w:rsidRPr="00B17A17">
        <w:rPr>
          <w:color w:val="262626"/>
          <w:sz w:val="24"/>
          <w:szCs w:val="24"/>
        </w:rPr>
        <w:t>such other matters the LGPS regulations may specify.</w:t>
      </w:r>
    </w:p>
    <w:p w14:paraId="6D1DAA0B" w14:textId="77777777" w:rsidR="001208EB" w:rsidRDefault="001208EB" w:rsidP="001208EB">
      <w:pPr>
        <w:numPr>
          <w:ilvl w:val="0"/>
          <w:numId w:val="16"/>
        </w:numPr>
        <w:shd w:val="clear" w:color="auto" w:fill="FFFFFF"/>
        <w:jc w:val="both"/>
        <w:rPr>
          <w:rFonts w:cs="Arial"/>
          <w:color w:val="262626"/>
          <w:szCs w:val="24"/>
          <w:lang w:eastAsia="en-GB"/>
        </w:rPr>
      </w:pPr>
      <w:r w:rsidRPr="00B17A17">
        <w:rPr>
          <w:rFonts w:cs="Arial"/>
          <w:color w:val="262626"/>
          <w:szCs w:val="24"/>
          <w:lang w:eastAsia="en-GB"/>
        </w:rPr>
        <w:t>The Administering Authority retains ultimate responsibility for the administration and governance of the scheme.  The role of the Board is to support the Administering Authority to fulfil that responsibility. </w:t>
      </w:r>
    </w:p>
    <w:p w14:paraId="26114D00" w14:textId="77777777" w:rsidR="001208EB" w:rsidRPr="00B17A17" w:rsidRDefault="001208EB" w:rsidP="001208EB">
      <w:pPr>
        <w:shd w:val="clear" w:color="auto" w:fill="FFFFFF"/>
        <w:ind w:left="720"/>
        <w:jc w:val="both"/>
        <w:rPr>
          <w:rFonts w:cs="Arial"/>
          <w:color w:val="262626"/>
          <w:szCs w:val="24"/>
          <w:lang w:eastAsia="en-GB"/>
        </w:rPr>
      </w:pPr>
    </w:p>
    <w:p w14:paraId="00C3CD26" w14:textId="77777777" w:rsidR="001208EB" w:rsidRPr="00B17A17" w:rsidRDefault="001208EB" w:rsidP="001208EB">
      <w:pPr>
        <w:numPr>
          <w:ilvl w:val="0"/>
          <w:numId w:val="16"/>
        </w:numPr>
        <w:shd w:val="clear" w:color="auto" w:fill="FFFFFF"/>
        <w:jc w:val="both"/>
        <w:rPr>
          <w:rFonts w:cs="Arial"/>
          <w:color w:val="262626"/>
          <w:szCs w:val="24"/>
          <w:lang w:eastAsia="en-GB"/>
        </w:rPr>
      </w:pPr>
      <w:r w:rsidRPr="00B17A17">
        <w:rPr>
          <w:rFonts w:cs="Arial"/>
          <w:color w:val="262626"/>
          <w:szCs w:val="24"/>
          <w:lang w:eastAsia="en-GB"/>
        </w:rPr>
        <w:t>In its role, The Board will have oversight of the administration of the fund including:</w:t>
      </w:r>
    </w:p>
    <w:p w14:paraId="72A1DD9A" w14:textId="77777777" w:rsidR="001208EB" w:rsidRPr="00B17A17" w:rsidRDefault="001208EB" w:rsidP="001208EB">
      <w:pPr>
        <w:shd w:val="clear" w:color="auto" w:fill="FFFFFF"/>
        <w:ind w:left="720"/>
        <w:rPr>
          <w:rFonts w:cs="Arial"/>
          <w:color w:val="262626"/>
          <w:szCs w:val="24"/>
          <w:lang w:eastAsia="en-GB"/>
        </w:rPr>
      </w:pPr>
      <w:r w:rsidRPr="00B17A17">
        <w:rPr>
          <w:rFonts w:cs="Arial"/>
          <w:color w:val="262626"/>
          <w:szCs w:val="24"/>
          <w:lang w:eastAsia="en-GB"/>
        </w:rPr>
        <w:t> </w:t>
      </w:r>
    </w:p>
    <w:p w14:paraId="46BF62FE" w14:textId="6300CBEF" w:rsidR="001208EB" w:rsidRPr="00B17A17" w:rsidRDefault="001208EB" w:rsidP="001208EB">
      <w:pPr>
        <w:shd w:val="clear" w:color="auto" w:fill="FFFFFF"/>
        <w:ind w:left="1440" w:hanging="720"/>
        <w:rPr>
          <w:rFonts w:cs="Arial"/>
          <w:color w:val="262626"/>
          <w:szCs w:val="24"/>
          <w:lang w:eastAsia="en-GB"/>
        </w:rPr>
      </w:pPr>
      <w:r w:rsidRPr="00B17A17">
        <w:rPr>
          <w:rFonts w:cs="Arial"/>
          <w:color w:val="262626"/>
          <w:szCs w:val="24"/>
          <w:lang w:eastAsia="en-GB"/>
        </w:rPr>
        <w:t>a.</w:t>
      </w:r>
      <w:r w:rsidRPr="00B17A17">
        <w:rPr>
          <w:rFonts w:ascii="Times New Roman" w:hAnsi="Times New Roman"/>
          <w:color w:val="262626"/>
          <w:sz w:val="14"/>
          <w:szCs w:val="14"/>
          <w:lang w:eastAsia="en-GB"/>
        </w:rPr>
        <w:t>           </w:t>
      </w:r>
      <w:r w:rsidRPr="00B17A17">
        <w:rPr>
          <w:rFonts w:cs="Arial"/>
          <w:color w:val="262626"/>
          <w:szCs w:val="24"/>
          <w:lang w:eastAsia="en-GB"/>
        </w:rPr>
        <w:t xml:space="preserve"> The effectiveness of the </w:t>
      </w:r>
      <w:r w:rsidR="00AE3DBB" w:rsidRPr="00B17A17">
        <w:rPr>
          <w:rFonts w:cs="Arial"/>
          <w:color w:val="262626"/>
          <w:szCs w:val="24"/>
          <w:lang w:eastAsia="en-GB"/>
        </w:rPr>
        <w:t>decision-making</w:t>
      </w:r>
      <w:r w:rsidRPr="00B17A17">
        <w:rPr>
          <w:rFonts w:cs="Arial"/>
          <w:color w:val="262626"/>
          <w:szCs w:val="24"/>
          <w:lang w:eastAsia="en-GB"/>
        </w:rPr>
        <w:t xml:space="preserve"> process</w:t>
      </w:r>
    </w:p>
    <w:p w14:paraId="37458E01" w14:textId="77777777" w:rsidR="001208EB" w:rsidRPr="00B17A17" w:rsidRDefault="001208EB" w:rsidP="001208EB">
      <w:pPr>
        <w:shd w:val="clear" w:color="auto" w:fill="FFFFFF"/>
        <w:ind w:left="1440" w:hanging="720"/>
        <w:rPr>
          <w:rFonts w:cs="Arial"/>
          <w:color w:val="262626"/>
          <w:szCs w:val="24"/>
          <w:lang w:eastAsia="en-GB"/>
        </w:rPr>
      </w:pPr>
      <w:r w:rsidRPr="00B17A17">
        <w:rPr>
          <w:rFonts w:cs="Arial"/>
          <w:color w:val="262626"/>
          <w:szCs w:val="24"/>
          <w:lang w:eastAsia="en-GB"/>
        </w:rPr>
        <w:t>b.</w:t>
      </w:r>
      <w:r w:rsidRPr="00B17A17">
        <w:rPr>
          <w:rFonts w:ascii="Times New Roman" w:hAnsi="Times New Roman"/>
          <w:color w:val="262626"/>
          <w:sz w:val="14"/>
          <w:szCs w:val="14"/>
          <w:lang w:eastAsia="en-GB"/>
        </w:rPr>
        <w:t>           </w:t>
      </w:r>
      <w:r w:rsidRPr="00B17A17">
        <w:rPr>
          <w:rFonts w:cs="Arial"/>
          <w:color w:val="262626"/>
          <w:szCs w:val="24"/>
          <w:lang w:eastAsia="en-GB"/>
        </w:rPr>
        <w:t> The direction of the Fund and its overall objectives</w:t>
      </w:r>
    </w:p>
    <w:p w14:paraId="02658D24" w14:textId="77777777" w:rsidR="001208EB" w:rsidRPr="00B17A17" w:rsidRDefault="001208EB" w:rsidP="001208EB">
      <w:pPr>
        <w:shd w:val="clear" w:color="auto" w:fill="FFFFFF"/>
        <w:ind w:left="1440" w:hanging="720"/>
        <w:rPr>
          <w:rFonts w:cs="Arial"/>
          <w:color w:val="262626"/>
          <w:szCs w:val="24"/>
          <w:lang w:eastAsia="en-GB"/>
        </w:rPr>
      </w:pPr>
      <w:r w:rsidRPr="00B17A17">
        <w:rPr>
          <w:rFonts w:cs="Arial"/>
          <w:color w:val="262626"/>
          <w:szCs w:val="24"/>
          <w:lang w:eastAsia="en-GB"/>
        </w:rPr>
        <w:t>c.</w:t>
      </w:r>
      <w:r w:rsidRPr="00B17A17">
        <w:rPr>
          <w:rFonts w:ascii="Times New Roman" w:hAnsi="Times New Roman"/>
          <w:color w:val="262626"/>
          <w:sz w:val="14"/>
          <w:szCs w:val="14"/>
          <w:lang w:eastAsia="en-GB"/>
        </w:rPr>
        <w:t>           </w:t>
      </w:r>
      <w:r w:rsidRPr="00B17A17">
        <w:rPr>
          <w:rFonts w:cs="Arial"/>
          <w:color w:val="262626"/>
          <w:szCs w:val="24"/>
          <w:lang w:eastAsia="en-GB"/>
        </w:rPr>
        <w:t> The level of transparency in the conduct of the Fund’s activities</w:t>
      </w:r>
    </w:p>
    <w:p w14:paraId="0CE44A37" w14:textId="77777777" w:rsidR="001208EB" w:rsidRPr="00B17A17" w:rsidRDefault="001208EB" w:rsidP="001208EB">
      <w:pPr>
        <w:shd w:val="clear" w:color="auto" w:fill="FFFFFF"/>
        <w:ind w:left="1440" w:hanging="720"/>
        <w:rPr>
          <w:rFonts w:cs="Arial"/>
          <w:color w:val="262626"/>
          <w:szCs w:val="24"/>
          <w:lang w:eastAsia="en-GB"/>
        </w:rPr>
      </w:pPr>
      <w:r w:rsidRPr="00B17A17">
        <w:rPr>
          <w:rFonts w:cs="Arial"/>
          <w:color w:val="262626"/>
          <w:szCs w:val="24"/>
          <w:lang w:eastAsia="en-GB"/>
        </w:rPr>
        <w:t>d.</w:t>
      </w:r>
      <w:r w:rsidRPr="00B17A17">
        <w:rPr>
          <w:rFonts w:ascii="Times New Roman" w:hAnsi="Times New Roman"/>
          <w:color w:val="262626"/>
          <w:sz w:val="14"/>
          <w:szCs w:val="14"/>
          <w:lang w:eastAsia="en-GB"/>
        </w:rPr>
        <w:t>           </w:t>
      </w:r>
      <w:r w:rsidRPr="00B17A17">
        <w:rPr>
          <w:rFonts w:cs="Arial"/>
          <w:color w:val="262626"/>
          <w:szCs w:val="24"/>
          <w:lang w:eastAsia="en-GB"/>
        </w:rPr>
        <w:t> The administration of benefits and contributions</w:t>
      </w:r>
    </w:p>
    <w:p w14:paraId="2CFFD2EF" w14:textId="77777777" w:rsidR="001208EB" w:rsidRPr="00B17A17" w:rsidRDefault="001208EB" w:rsidP="001208EB">
      <w:pPr>
        <w:shd w:val="clear" w:color="auto" w:fill="FFFFFF"/>
        <w:ind w:left="720"/>
        <w:rPr>
          <w:rFonts w:cs="Arial"/>
          <w:color w:val="262626"/>
          <w:szCs w:val="24"/>
          <w:lang w:eastAsia="en-GB"/>
        </w:rPr>
      </w:pPr>
      <w:r w:rsidRPr="00B17A17">
        <w:rPr>
          <w:rFonts w:cs="Arial"/>
          <w:color w:val="262626"/>
          <w:szCs w:val="24"/>
          <w:lang w:eastAsia="en-GB"/>
        </w:rPr>
        <w:t> </w:t>
      </w:r>
    </w:p>
    <w:p w14:paraId="6D4BF912" w14:textId="77777777" w:rsidR="001208EB" w:rsidRPr="00B17A17" w:rsidRDefault="001208EB" w:rsidP="001208EB">
      <w:pPr>
        <w:numPr>
          <w:ilvl w:val="0"/>
          <w:numId w:val="16"/>
        </w:numPr>
        <w:jc w:val="both"/>
        <w:rPr>
          <w:szCs w:val="24"/>
        </w:rPr>
      </w:pPr>
      <w:r w:rsidRPr="00B17A17">
        <w:rPr>
          <w:rFonts w:cs="Arial"/>
          <w:color w:val="262626"/>
          <w:szCs w:val="24"/>
          <w:lang w:eastAsia="en-GB"/>
        </w:rPr>
        <w:t>The Board will provide the Scheme Manager with such information as it requires to ensure that any Member of the Board or person to be appointed to the Board does not have a conflict of interest.</w:t>
      </w:r>
    </w:p>
    <w:p w14:paraId="169F2BD4" w14:textId="77777777" w:rsidR="001208EB" w:rsidRPr="00B17A17" w:rsidRDefault="001208EB" w:rsidP="001208EB">
      <w:pPr>
        <w:ind w:left="720"/>
        <w:jc w:val="both"/>
        <w:rPr>
          <w:szCs w:val="24"/>
        </w:rPr>
      </w:pPr>
    </w:p>
    <w:p w14:paraId="73611EAF" w14:textId="77777777" w:rsidR="001208EB" w:rsidRPr="00B17A17" w:rsidRDefault="001208EB" w:rsidP="001208EB">
      <w:pPr>
        <w:numPr>
          <w:ilvl w:val="0"/>
          <w:numId w:val="16"/>
        </w:numPr>
        <w:jc w:val="both"/>
        <w:rPr>
          <w:szCs w:val="24"/>
        </w:rPr>
      </w:pPr>
      <w:r w:rsidRPr="00B17A17">
        <w:rPr>
          <w:rFonts w:cs="Arial"/>
          <w:color w:val="262626"/>
          <w:szCs w:val="24"/>
          <w:lang w:eastAsia="en-GB"/>
        </w:rPr>
        <w:t>The Board will ensure it effectively and efficiently complies with the Code of Practice on the Governance and Administration of Public Service Pension Schemes issued by the Pensions Regulator.  It will help to ensure that the Fund is managed in the same way.</w:t>
      </w:r>
    </w:p>
    <w:p w14:paraId="6FE30207" w14:textId="77777777" w:rsidR="001208EB" w:rsidRDefault="001208EB" w:rsidP="001208EB">
      <w:pPr>
        <w:pStyle w:val="ListParagraph"/>
        <w:rPr>
          <w:szCs w:val="24"/>
        </w:rPr>
      </w:pPr>
    </w:p>
    <w:p w14:paraId="72D1BA74" w14:textId="77777777" w:rsidR="001208EB" w:rsidRPr="00B17A17" w:rsidRDefault="001208EB" w:rsidP="001208EB">
      <w:pPr>
        <w:numPr>
          <w:ilvl w:val="0"/>
          <w:numId w:val="16"/>
        </w:numPr>
        <w:jc w:val="both"/>
        <w:rPr>
          <w:szCs w:val="24"/>
        </w:rPr>
      </w:pPr>
      <w:r w:rsidRPr="00B17A17">
        <w:rPr>
          <w:rFonts w:cs="Arial"/>
          <w:color w:val="262626"/>
          <w:szCs w:val="24"/>
          <w:lang w:eastAsia="en-GB"/>
        </w:rPr>
        <w:t>The Board shall meet sufficiently regularly to discharge its duties and responsibilities effectively.</w:t>
      </w:r>
    </w:p>
    <w:bookmarkEnd w:id="0"/>
    <w:p w14:paraId="75BF25CE" w14:textId="77777777" w:rsidR="006B5B52" w:rsidRDefault="006B5B52" w:rsidP="006B5B52">
      <w:pPr>
        <w:pStyle w:val="Heading2"/>
        <w:spacing w:after="240"/>
      </w:pPr>
      <w:r>
        <w:t>Financial Implications</w:t>
      </w:r>
    </w:p>
    <w:p w14:paraId="42CA06A9" w14:textId="3F95D7F2" w:rsidR="006B5B52" w:rsidRDefault="00FF5D5C" w:rsidP="00EB0AAE">
      <w:pPr>
        <w:numPr>
          <w:ilvl w:val="0"/>
          <w:numId w:val="16"/>
        </w:numPr>
        <w:jc w:val="both"/>
        <w:rPr>
          <w:szCs w:val="24"/>
          <w:lang w:val="en-US"/>
        </w:rPr>
      </w:pPr>
      <w:r>
        <w:rPr>
          <w:szCs w:val="24"/>
          <w:lang w:val="en-US"/>
        </w:rPr>
        <w:t>The</w:t>
      </w:r>
      <w:r w:rsidR="002B4AF4">
        <w:rPr>
          <w:szCs w:val="24"/>
          <w:lang w:val="en-US"/>
        </w:rPr>
        <w:t xml:space="preserve">re </w:t>
      </w:r>
      <w:r w:rsidR="008857AA">
        <w:rPr>
          <w:szCs w:val="24"/>
          <w:lang w:val="en-US"/>
        </w:rPr>
        <w:t>is</w:t>
      </w:r>
      <w:r w:rsidR="002B4AF4">
        <w:rPr>
          <w:szCs w:val="24"/>
          <w:lang w:val="en-US"/>
        </w:rPr>
        <w:t xml:space="preserve"> a cost of engaging Aquila Heywood to assist in the collection of employer data in readiness to implement fully the Mc</w:t>
      </w:r>
      <w:r w:rsidR="00294964">
        <w:rPr>
          <w:szCs w:val="24"/>
          <w:lang w:val="en-US"/>
        </w:rPr>
        <w:t>C</w:t>
      </w:r>
      <w:r w:rsidR="002B4AF4">
        <w:rPr>
          <w:szCs w:val="24"/>
          <w:lang w:val="en-US"/>
        </w:rPr>
        <w:t xml:space="preserve">loud Judgement when the new Regulations become available. </w:t>
      </w:r>
      <w:r w:rsidR="008A750D">
        <w:rPr>
          <w:szCs w:val="24"/>
          <w:lang w:val="en-US"/>
        </w:rPr>
        <w:t xml:space="preserve">The work to deliver the triennial valuation will result in additional fees payable to </w:t>
      </w:r>
      <w:r w:rsidR="00C305BC">
        <w:rPr>
          <w:szCs w:val="24"/>
          <w:lang w:val="en-US"/>
        </w:rPr>
        <w:t>the Fund’s</w:t>
      </w:r>
      <w:r w:rsidR="008A750D">
        <w:rPr>
          <w:szCs w:val="24"/>
          <w:lang w:val="en-US"/>
        </w:rPr>
        <w:t xml:space="preserve"> actuary, Hymans Robertson. </w:t>
      </w:r>
      <w:r w:rsidR="002B4AF4">
        <w:rPr>
          <w:szCs w:val="24"/>
          <w:lang w:val="en-US"/>
        </w:rPr>
        <w:t>Th</w:t>
      </w:r>
      <w:r w:rsidR="008A750D">
        <w:rPr>
          <w:szCs w:val="24"/>
          <w:lang w:val="en-US"/>
        </w:rPr>
        <w:t>ese</w:t>
      </w:r>
      <w:r w:rsidR="002B4AF4">
        <w:rPr>
          <w:szCs w:val="24"/>
          <w:lang w:val="en-US"/>
        </w:rPr>
        <w:t xml:space="preserve"> cost</w:t>
      </w:r>
      <w:r w:rsidR="008A750D">
        <w:rPr>
          <w:szCs w:val="24"/>
          <w:lang w:val="en-US"/>
        </w:rPr>
        <w:t>s</w:t>
      </w:r>
      <w:r w:rsidR="002B4AF4">
        <w:rPr>
          <w:szCs w:val="24"/>
          <w:lang w:val="en-US"/>
        </w:rPr>
        <w:t xml:space="preserve"> </w:t>
      </w:r>
      <w:r w:rsidR="00F479B3">
        <w:rPr>
          <w:szCs w:val="24"/>
          <w:lang w:val="en-US"/>
        </w:rPr>
        <w:t>are being / will be</w:t>
      </w:r>
      <w:r>
        <w:rPr>
          <w:szCs w:val="24"/>
          <w:lang w:val="en-US"/>
        </w:rPr>
        <w:t xml:space="preserve"> met from the Pension Fund.</w:t>
      </w:r>
    </w:p>
    <w:p w14:paraId="728A4005" w14:textId="77777777" w:rsidR="00811B29" w:rsidRPr="006B5B52" w:rsidRDefault="00811B29" w:rsidP="00811B29">
      <w:pPr>
        <w:ind w:left="720"/>
        <w:jc w:val="both"/>
        <w:rPr>
          <w:szCs w:val="24"/>
          <w:lang w:val="en-US"/>
        </w:rPr>
      </w:pPr>
    </w:p>
    <w:p w14:paraId="0568C5C0" w14:textId="77777777" w:rsidR="006B5B52" w:rsidRPr="003D2FFE" w:rsidRDefault="006B5B52" w:rsidP="006B5B52">
      <w:pPr>
        <w:pStyle w:val="Heading2"/>
        <w:spacing w:after="240"/>
      </w:pPr>
      <w:r>
        <w:lastRenderedPageBreak/>
        <w:t>Risk Management Implications</w:t>
      </w:r>
    </w:p>
    <w:p w14:paraId="4C949C7A" w14:textId="7B435603" w:rsidR="002B4AF4" w:rsidRPr="003F5AF9" w:rsidRDefault="002B4AF4" w:rsidP="002B4AF4">
      <w:pPr>
        <w:numPr>
          <w:ilvl w:val="0"/>
          <w:numId w:val="16"/>
        </w:numPr>
        <w:autoSpaceDE w:val="0"/>
        <w:autoSpaceDN w:val="0"/>
        <w:adjustRightInd w:val="0"/>
        <w:rPr>
          <w:rFonts w:cs="Arial"/>
          <w:color w:val="000000"/>
          <w:szCs w:val="24"/>
          <w:lang w:eastAsia="en-GB"/>
        </w:rPr>
      </w:pPr>
      <w:r w:rsidRPr="00690F76">
        <w:t xml:space="preserve">The Pension Fund’s Risk Register is reviewed regularly by both </w:t>
      </w:r>
      <w:r>
        <w:t xml:space="preserve">the Pension Fund </w:t>
      </w:r>
      <w:r w:rsidRPr="00690F76">
        <w:t xml:space="preserve">Committee and by the Board. </w:t>
      </w:r>
      <w:r>
        <w:t xml:space="preserve">The </w:t>
      </w:r>
      <w:r w:rsidR="00953FF1">
        <w:t xml:space="preserve">next </w:t>
      </w:r>
      <w:r>
        <w:t xml:space="preserve">review </w:t>
      </w:r>
      <w:r w:rsidR="00953FF1">
        <w:t xml:space="preserve">will be considered </w:t>
      </w:r>
      <w:r w:rsidR="004B2C2F">
        <w:t>elsewhere on the agenda for this meeting.</w:t>
      </w:r>
      <w:r>
        <w:t xml:space="preserve"> </w:t>
      </w:r>
    </w:p>
    <w:p w14:paraId="7C43BF78" w14:textId="77777777" w:rsidR="002B4AF4" w:rsidRPr="003F5AF9" w:rsidRDefault="002B4AF4" w:rsidP="002B4AF4">
      <w:pPr>
        <w:autoSpaceDE w:val="0"/>
        <w:autoSpaceDN w:val="0"/>
        <w:adjustRightInd w:val="0"/>
        <w:ind w:left="426"/>
        <w:rPr>
          <w:rFonts w:cs="Arial"/>
          <w:color w:val="000000"/>
          <w:szCs w:val="24"/>
          <w:lang w:eastAsia="en-GB"/>
        </w:rPr>
      </w:pPr>
    </w:p>
    <w:p w14:paraId="462D9ECD" w14:textId="0DD1887F" w:rsidR="006B5B52" w:rsidRPr="00C55540" w:rsidRDefault="002B4AF4" w:rsidP="002B4AF4">
      <w:pPr>
        <w:numPr>
          <w:ilvl w:val="0"/>
          <w:numId w:val="16"/>
        </w:numPr>
        <w:jc w:val="both"/>
      </w:pPr>
      <w:r w:rsidRPr="00690F76">
        <w:t>There are no specific risk management implications arising from this report</w:t>
      </w:r>
      <w:r>
        <w:t>.</w:t>
      </w:r>
      <w:r w:rsidR="005D3267">
        <w:t xml:space="preserve"> </w:t>
      </w:r>
    </w:p>
    <w:p w14:paraId="16855B49" w14:textId="77777777" w:rsidR="00C55540" w:rsidRDefault="00C55540" w:rsidP="00C55540">
      <w:pPr>
        <w:pStyle w:val="Heading2"/>
        <w:keepNext/>
        <w:spacing w:after="240"/>
      </w:pPr>
      <w:r w:rsidRPr="004A2543">
        <w:t>Equalities implications</w:t>
      </w:r>
      <w:r>
        <w:t xml:space="preserve"> / Public Sector Equality Duty </w:t>
      </w:r>
    </w:p>
    <w:p w14:paraId="150BCE92" w14:textId="54EFFC9B" w:rsidR="00C55540" w:rsidRPr="00C55540" w:rsidRDefault="00C55540" w:rsidP="00C55540">
      <w:pPr>
        <w:pStyle w:val="ListParagraph"/>
        <w:numPr>
          <w:ilvl w:val="0"/>
          <w:numId w:val="16"/>
        </w:numPr>
        <w:rPr>
          <w:sz w:val="24"/>
          <w:szCs w:val="24"/>
        </w:rPr>
      </w:pPr>
      <w:r w:rsidRPr="00C55540">
        <w:rPr>
          <w:sz w:val="24"/>
          <w:szCs w:val="24"/>
        </w:rPr>
        <w:t xml:space="preserve">Was an Equality Impact Assessment carried out?  No </w:t>
      </w:r>
    </w:p>
    <w:p w14:paraId="010082B9" w14:textId="77777777" w:rsidR="00C55540" w:rsidRPr="00C55540" w:rsidRDefault="00C55540" w:rsidP="00C55540">
      <w:pPr>
        <w:rPr>
          <w:szCs w:val="24"/>
        </w:rPr>
      </w:pPr>
    </w:p>
    <w:p w14:paraId="6F845081" w14:textId="3BBA24D2" w:rsidR="00C55540" w:rsidRPr="00C55540" w:rsidRDefault="00C55540" w:rsidP="0036007A">
      <w:pPr>
        <w:numPr>
          <w:ilvl w:val="0"/>
          <w:numId w:val="16"/>
        </w:numPr>
        <w:jc w:val="both"/>
        <w:rPr>
          <w:szCs w:val="24"/>
        </w:rPr>
      </w:pPr>
      <w:r w:rsidRPr="00C55540">
        <w:rPr>
          <w:szCs w:val="24"/>
        </w:rPr>
        <w:t>There are no direct equalities implications arising from this report</w:t>
      </w:r>
      <w:r w:rsidR="00440519">
        <w:rPr>
          <w:szCs w:val="24"/>
        </w:rPr>
        <w:t>.</w:t>
      </w:r>
    </w:p>
    <w:p w14:paraId="11BF41CC" w14:textId="77777777" w:rsidR="002A2389" w:rsidRDefault="002A2389" w:rsidP="00912904">
      <w:pPr>
        <w:pStyle w:val="Heading2"/>
      </w:pPr>
      <w:r>
        <w:t>Section 3 - Statutory Officer Clearance</w:t>
      </w:r>
    </w:p>
    <w:p w14:paraId="077143F8" w14:textId="77777777" w:rsidR="002A2389" w:rsidRDefault="002A2389" w:rsidP="008D1750">
      <w:pPr>
        <w:keepNext/>
        <w:rPr>
          <w:rFonts w:cs="Arial"/>
        </w:rPr>
      </w:pPr>
    </w:p>
    <w:p w14:paraId="1F493ADE" w14:textId="6C932DF0" w:rsidR="00912904" w:rsidRPr="00A66326" w:rsidRDefault="00912904" w:rsidP="00912904">
      <w:pPr>
        <w:rPr>
          <w:sz w:val="28"/>
        </w:rPr>
      </w:pPr>
      <w:r w:rsidRPr="00A66326">
        <w:rPr>
          <w:b/>
          <w:sz w:val="28"/>
        </w:rPr>
        <w:t xml:space="preserve">Statutory Officer:  </w:t>
      </w:r>
      <w:r w:rsidR="00C76335">
        <w:rPr>
          <w:b/>
          <w:sz w:val="28"/>
        </w:rPr>
        <w:t>Dawn Calvert</w:t>
      </w:r>
    </w:p>
    <w:p w14:paraId="57640BD9" w14:textId="39987006" w:rsidR="00912904" w:rsidRPr="00A66326" w:rsidRDefault="00912904" w:rsidP="00912904">
      <w:r w:rsidRPr="00A66326">
        <w:t>Signed by the Chief Financial Officer</w:t>
      </w:r>
    </w:p>
    <w:p w14:paraId="5745A2E3" w14:textId="39D25EB7" w:rsidR="00912904" w:rsidRPr="00A66326" w:rsidRDefault="00912904" w:rsidP="00912904">
      <w:pPr>
        <w:spacing w:after="480"/>
        <w:rPr>
          <w:sz w:val="28"/>
        </w:rPr>
      </w:pPr>
      <w:r w:rsidRPr="00A66326">
        <w:rPr>
          <w:b/>
          <w:sz w:val="28"/>
        </w:rPr>
        <w:t xml:space="preserve">Date:  </w:t>
      </w:r>
      <w:r w:rsidR="00C76335">
        <w:rPr>
          <w:b/>
          <w:sz w:val="28"/>
        </w:rPr>
        <w:t>21/11/2022</w:t>
      </w:r>
    </w:p>
    <w:p w14:paraId="2586CC50" w14:textId="21C355F0" w:rsidR="00912904" w:rsidRPr="00A66326" w:rsidRDefault="00912904" w:rsidP="00912904">
      <w:pPr>
        <w:rPr>
          <w:sz w:val="28"/>
        </w:rPr>
      </w:pPr>
      <w:r w:rsidRPr="00A66326">
        <w:rPr>
          <w:b/>
          <w:sz w:val="28"/>
        </w:rPr>
        <w:t xml:space="preserve">Statutory Officer:  </w:t>
      </w:r>
      <w:r w:rsidR="00811B29">
        <w:rPr>
          <w:b/>
          <w:sz w:val="28"/>
        </w:rPr>
        <w:t>Sharon Clarke</w:t>
      </w:r>
    </w:p>
    <w:p w14:paraId="3F58D77A" w14:textId="49A4BCCE" w:rsidR="00912904" w:rsidRPr="00A66326" w:rsidRDefault="00912904" w:rsidP="00912904">
      <w:r w:rsidRPr="00A66326">
        <w:t>Signed on behalf of the Monitoring Officer</w:t>
      </w:r>
    </w:p>
    <w:p w14:paraId="61F8C7E6" w14:textId="1CF35F25" w:rsidR="00912904" w:rsidRPr="003313EA" w:rsidRDefault="00912904" w:rsidP="00912904">
      <w:pPr>
        <w:spacing w:after="480"/>
        <w:rPr>
          <w:sz w:val="28"/>
        </w:rPr>
      </w:pPr>
      <w:r w:rsidRPr="00A66326">
        <w:rPr>
          <w:b/>
          <w:sz w:val="28"/>
        </w:rPr>
        <w:t xml:space="preserve">Date:  </w:t>
      </w:r>
      <w:r w:rsidR="00811B29">
        <w:rPr>
          <w:b/>
          <w:sz w:val="28"/>
        </w:rPr>
        <w:t>22/11/2022</w:t>
      </w:r>
    </w:p>
    <w:p w14:paraId="41BE0AE1" w14:textId="3022958C" w:rsidR="00142155" w:rsidRDefault="004A4A1D" w:rsidP="00912904">
      <w:pPr>
        <w:rPr>
          <w:b/>
          <w:sz w:val="28"/>
        </w:rPr>
      </w:pPr>
      <w:r>
        <w:rPr>
          <w:b/>
          <w:sz w:val="28"/>
        </w:rPr>
        <w:t>Chief</w:t>
      </w:r>
      <w:r w:rsidR="00912904" w:rsidRPr="00A66326">
        <w:rPr>
          <w:b/>
          <w:sz w:val="28"/>
        </w:rPr>
        <w:t xml:space="preserve"> Officer: </w:t>
      </w:r>
      <w:r w:rsidR="00C76335">
        <w:rPr>
          <w:b/>
          <w:sz w:val="28"/>
        </w:rPr>
        <w:t>Dawn Calvert</w:t>
      </w:r>
    </w:p>
    <w:p w14:paraId="12E4D11B" w14:textId="2A5214C2" w:rsidR="00912904" w:rsidRPr="00A66326" w:rsidRDefault="00365D29" w:rsidP="00912904">
      <w:r>
        <w:t>Signed</w:t>
      </w:r>
      <w:r w:rsidR="00912904" w:rsidRPr="00A66326">
        <w:t xml:space="preserve"> </w:t>
      </w:r>
      <w:r w:rsidR="00A845EF">
        <w:t>on behalf of</w:t>
      </w:r>
      <w:r w:rsidR="002E1AF6">
        <w:t xml:space="preserve"> </w:t>
      </w:r>
      <w:r w:rsidR="00912904" w:rsidRPr="00A66326">
        <w:t>the C</w:t>
      </w:r>
      <w:r w:rsidR="00D24343">
        <w:t>hief Executive</w:t>
      </w:r>
    </w:p>
    <w:p w14:paraId="21482980" w14:textId="69F7EC5E" w:rsidR="00912904" w:rsidRPr="00A66326" w:rsidRDefault="00912904" w:rsidP="00912904">
      <w:pPr>
        <w:spacing w:after="480"/>
        <w:rPr>
          <w:sz w:val="28"/>
        </w:rPr>
      </w:pPr>
      <w:r w:rsidRPr="00A66326">
        <w:rPr>
          <w:b/>
          <w:sz w:val="28"/>
        </w:rPr>
        <w:t xml:space="preserve">Date:  </w:t>
      </w:r>
      <w:r w:rsidR="00C76335">
        <w:rPr>
          <w:b/>
          <w:sz w:val="28"/>
        </w:rPr>
        <w:t>21/11/2022</w:t>
      </w:r>
    </w:p>
    <w:p w14:paraId="686CE5D8" w14:textId="77777777" w:rsidR="00912904" w:rsidRPr="00435B5D" w:rsidRDefault="00912904" w:rsidP="00912904">
      <w:pPr>
        <w:pStyle w:val="Heading2"/>
        <w:spacing w:after="240"/>
      </w:pPr>
      <w:r>
        <w:t>Mandatory Checks</w:t>
      </w:r>
    </w:p>
    <w:p w14:paraId="71FBC41D" w14:textId="698E6A4D" w:rsidR="00912904" w:rsidRPr="00AE3DBB" w:rsidRDefault="00912904" w:rsidP="00C55540">
      <w:pPr>
        <w:pStyle w:val="Heading3"/>
        <w:ind w:left="0" w:firstLine="0"/>
        <w:rPr>
          <w:b w:val="0"/>
          <w:bCs w:val="0"/>
          <w:i/>
          <w:color w:val="FF0000"/>
          <w:szCs w:val="24"/>
        </w:rPr>
      </w:pPr>
      <w:r w:rsidRPr="00E90AFF">
        <w:rPr>
          <w:sz w:val="28"/>
        </w:rPr>
        <w:t xml:space="preserve">Ward Councillors notified:  </w:t>
      </w:r>
      <w:r w:rsidRPr="00AE3DBB">
        <w:rPr>
          <w:b w:val="0"/>
          <w:bCs w:val="0"/>
          <w:sz w:val="28"/>
        </w:rPr>
        <w:t>N</w:t>
      </w:r>
      <w:r w:rsidR="00367CCA" w:rsidRPr="00AE3DBB">
        <w:rPr>
          <w:b w:val="0"/>
          <w:bCs w:val="0"/>
          <w:sz w:val="28"/>
        </w:rPr>
        <w:t>ot Applicable</w:t>
      </w:r>
    </w:p>
    <w:p w14:paraId="629F8205" w14:textId="77777777" w:rsidR="002A2389" w:rsidRDefault="002A2389" w:rsidP="00912904">
      <w:pPr>
        <w:pStyle w:val="Heading2"/>
        <w:keepNext/>
        <w:spacing w:after="240"/>
      </w:pPr>
      <w:r>
        <w:t>Section 4 - Contact Details and Background Papers</w:t>
      </w:r>
    </w:p>
    <w:p w14:paraId="373FA8D5" w14:textId="3D6D20A2" w:rsidR="00C55540" w:rsidRDefault="002A2389" w:rsidP="00C55540">
      <w:pPr>
        <w:pStyle w:val="Infotext"/>
        <w:rPr>
          <w:sz w:val="24"/>
          <w:szCs w:val="24"/>
        </w:rPr>
      </w:pPr>
      <w:r w:rsidRPr="00D914D2">
        <w:rPr>
          <w:b/>
        </w:rPr>
        <w:t>Contact:</w:t>
      </w:r>
      <w:r>
        <w:t xml:space="preserve">  </w:t>
      </w:r>
      <w:r w:rsidR="00C55540" w:rsidRPr="00A175BD">
        <w:rPr>
          <w:sz w:val="24"/>
          <w:szCs w:val="24"/>
        </w:rPr>
        <w:t xml:space="preserve">Jeremy Randall – Interim Pensions </w:t>
      </w:r>
      <w:r w:rsidR="00DD6270">
        <w:rPr>
          <w:sz w:val="24"/>
          <w:szCs w:val="24"/>
        </w:rPr>
        <w:t>Manager</w:t>
      </w:r>
    </w:p>
    <w:p w14:paraId="1C4BF2D4" w14:textId="6F1CF3B9" w:rsidR="002A2389" w:rsidRDefault="00C55540" w:rsidP="00C55540">
      <w:pPr>
        <w:pStyle w:val="Infotext"/>
        <w:rPr>
          <w:rStyle w:val="Hyperlink"/>
          <w:sz w:val="24"/>
          <w:szCs w:val="24"/>
        </w:rPr>
      </w:pPr>
      <w:r w:rsidRPr="00A175BD">
        <w:rPr>
          <w:sz w:val="24"/>
          <w:szCs w:val="24"/>
        </w:rPr>
        <w:t xml:space="preserve">Email: </w:t>
      </w:r>
      <w:hyperlink r:id="rId8" w:history="1">
        <w:r w:rsidRPr="00A175BD">
          <w:rPr>
            <w:rStyle w:val="Hyperlink"/>
            <w:sz w:val="24"/>
            <w:szCs w:val="24"/>
          </w:rPr>
          <w:t>Jeremy.randall@harrow.gov.uk</w:t>
        </w:r>
      </w:hyperlink>
    </w:p>
    <w:p w14:paraId="44BEEA4E" w14:textId="54691BB4" w:rsidR="00DD6270" w:rsidRPr="00DD6270" w:rsidRDefault="00DD6270" w:rsidP="00C55540">
      <w:pPr>
        <w:pStyle w:val="Infotext"/>
      </w:pPr>
      <w:r w:rsidRPr="00DD6270">
        <w:rPr>
          <w:rStyle w:val="Hyperlink"/>
          <w:color w:val="auto"/>
          <w:sz w:val="24"/>
          <w:szCs w:val="24"/>
          <w:u w:val="none"/>
        </w:rPr>
        <w:t>Telephone 020 8</w:t>
      </w:r>
      <w:r>
        <w:rPr>
          <w:rStyle w:val="Hyperlink"/>
          <w:color w:val="auto"/>
          <w:sz w:val="24"/>
          <w:szCs w:val="24"/>
          <w:u w:val="none"/>
        </w:rPr>
        <w:t>736 6552</w:t>
      </w:r>
    </w:p>
    <w:p w14:paraId="695B009D" w14:textId="1E187BE9" w:rsidR="002A2389" w:rsidRDefault="002A2389" w:rsidP="00C55540">
      <w:pPr>
        <w:pStyle w:val="Infotext"/>
        <w:spacing w:before="360"/>
      </w:pPr>
      <w:r w:rsidRPr="00D914D2">
        <w:rPr>
          <w:b/>
        </w:rPr>
        <w:t>Background Papers</w:t>
      </w:r>
      <w:r>
        <w:t xml:space="preserve">:  </w:t>
      </w:r>
      <w:r w:rsidR="00C55540">
        <w:rPr>
          <w:rFonts w:cs="Arial"/>
          <w:sz w:val="24"/>
        </w:rPr>
        <w:t>None</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F0A21" w14:textId="77777777" w:rsidR="00676403" w:rsidRDefault="00676403">
      <w:r>
        <w:separator/>
      </w:r>
    </w:p>
  </w:endnote>
  <w:endnote w:type="continuationSeparator" w:id="0">
    <w:p w14:paraId="2E484250" w14:textId="77777777" w:rsidR="00676403" w:rsidRDefault="00676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9F066" w14:textId="77777777" w:rsidR="00676403" w:rsidRDefault="00676403">
      <w:r>
        <w:separator/>
      </w:r>
    </w:p>
  </w:footnote>
  <w:footnote w:type="continuationSeparator" w:id="0">
    <w:p w14:paraId="508AA657" w14:textId="77777777" w:rsidR="00676403" w:rsidRDefault="00676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4EB"/>
    <w:multiLevelType w:val="hybridMultilevel"/>
    <w:tmpl w:val="482291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B93787"/>
    <w:multiLevelType w:val="hybridMultilevel"/>
    <w:tmpl w:val="E26A79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AC6ABC"/>
    <w:multiLevelType w:val="multilevel"/>
    <w:tmpl w:val="52C49370"/>
    <w:lvl w:ilvl="0">
      <w:start w:val="1"/>
      <w:numFmt w:val="decimal"/>
      <w:lvlText w:val="%1."/>
      <w:lvlJc w:val="left"/>
      <w:pPr>
        <w:tabs>
          <w:tab w:val="num" w:pos="584"/>
        </w:tabs>
        <w:ind w:left="584" w:hanging="397"/>
      </w:pPr>
      <w:rPr>
        <w:b w:val="0"/>
        <w:color w:val="auto"/>
      </w:rPr>
    </w:lvl>
    <w:lvl w:ilvl="1">
      <w:start w:val="3"/>
      <w:numFmt w:val="decimal"/>
      <w:isLgl/>
      <w:lvlText w:val="%1.%2"/>
      <w:lvlJc w:val="left"/>
      <w:pPr>
        <w:ind w:left="592" w:hanging="405"/>
      </w:pPr>
    </w:lvl>
    <w:lvl w:ilvl="2">
      <w:start w:val="1"/>
      <w:numFmt w:val="decimal"/>
      <w:isLgl/>
      <w:lvlText w:val="%1.%2.%3"/>
      <w:lvlJc w:val="left"/>
      <w:pPr>
        <w:ind w:left="907" w:hanging="720"/>
      </w:pPr>
    </w:lvl>
    <w:lvl w:ilvl="3">
      <w:start w:val="1"/>
      <w:numFmt w:val="decimal"/>
      <w:isLgl/>
      <w:lvlText w:val="%1.%2.%3.%4"/>
      <w:lvlJc w:val="left"/>
      <w:pPr>
        <w:ind w:left="1267" w:hanging="1080"/>
      </w:pPr>
    </w:lvl>
    <w:lvl w:ilvl="4">
      <w:start w:val="1"/>
      <w:numFmt w:val="decimal"/>
      <w:isLgl/>
      <w:lvlText w:val="%1.%2.%3.%4.%5"/>
      <w:lvlJc w:val="left"/>
      <w:pPr>
        <w:ind w:left="1267" w:hanging="1080"/>
      </w:pPr>
    </w:lvl>
    <w:lvl w:ilvl="5">
      <w:start w:val="1"/>
      <w:numFmt w:val="decimal"/>
      <w:isLgl/>
      <w:lvlText w:val="%1.%2.%3.%4.%5.%6"/>
      <w:lvlJc w:val="left"/>
      <w:pPr>
        <w:ind w:left="1627" w:hanging="1440"/>
      </w:pPr>
    </w:lvl>
    <w:lvl w:ilvl="6">
      <w:start w:val="1"/>
      <w:numFmt w:val="decimal"/>
      <w:isLgl/>
      <w:lvlText w:val="%1.%2.%3.%4.%5.%6.%7"/>
      <w:lvlJc w:val="left"/>
      <w:pPr>
        <w:ind w:left="1627" w:hanging="1440"/>
      </w:pPr>
    </w:lvl>
    <w:lvl w:ilvl="7">
      <w:start w:val="1"/>
      <w:numFmt w:val="decimal"/>
      <w:isLgl/>
      <w:lvlText w:val="%1.%2.%3.%4.%5.%6.%7.%8"/>
      <w:lvlJc w:val="left"/>
      <w:pPr>
        <w:ind w:left="1987" w:hanging="1800"/>
      </w:pPr>
    </w:lvl>
    <w:lvl w:ilvl="8">
      <w:start w:val="1"/>
      <w:numFmt w:val="decimal"/>
      <w:isLgl/>
      <w:lvlText w:val="%1.%2.%3.%4.%5.%6.%7.%8.%9"/>
      <w:lvlJc w:val="left"/>
      <w:pPr>
        <w:ind w:left="1987" w:hanging="1800"/>
      </w:pPr>
    </w:lvl>
  </w:abstractNum>
  <w:abstractNum w:abstractNumId="7" w15:restartNumberingAfterBreak="0">
    <w:nsid w:val="14263D2D"/>
    <w:multiLevelType w:val="multilevel"/>
    <w:tmpl w:val="609E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6B67E1"/>
    <w:multiLevelType w:val="hybridMultilevel"/>
    <w:tmpl w:val="E9CA8F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BB2E11"/>
    <w:multiLevelType w:val="hybridMultilevel"/>
    <w:tmpl w:val="14EAC4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07E4ADE"/>
    <w:multiLevelType w:val="hybridMultilevel"/>
    <w:tmpl w:val="C6CAD6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0EB1D52"/>
    <w:multiLevelType w:val="hybridMultilevel"/>
    <w:tmpl w:val="EEB41CB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1655377"/>
    <w:multiLevelType w:val="hybridMultilevel"/>
    <w:tmpl w:val="6A8AAE48"/>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4" w15:restartNumberingAfterBreak="0">
    <w:nsid w:val="238A2288"/>
    <w:multiLevelType w:val="multilevel"/>
    <w:tmpl w:val="C38A025A"/>
    <w:lvl w:ilvl="0">
      <w:start w:val="1"/>
      <w:numFmt w:val="bullet"/>
      <w:lvlText w:val=""/>
      <w:lvlJc w:val="left"/>
      <w:pPr>
        <w:tabs>
          <w:tab w:val="num" w:pos="1710"/>
        </w:tabs>
        <w:ind w:left="1710" w:hanging="360"/>
      </w:pPr>
      <w:rPr>
        <w:rFonts w:ascii="Symbol" w:hAnsi="Symbol" w:hint="default"/>
        <w:sz w:val="20"/>
      </w:rPr>
    </w:lvl>
    <w:lvl w:ilvl="1" w:tentative="1">
      <w:start w:val="1"/>
      <w:numFmt w:val="bullet"/>
      <w:lvlText w:val=""/>
      <w:lvlJc w:val="left"/>
      <w:pPr>
        <w:tabs>
          <w:tab w:val="num" w:pos="2430"/>
        </w:tabs>
        <w:ind w:left="2430" w:hanging="360"/>
      </w:pPr>
      <w:rPr>
        <w:rFonts w:ascii="Symbol" w:hAnsi="Symbol" w:hint="default"/>
        <w:sz w:val="20"/>
      </w:rPr>
    </w:lvl>
    <w:lvl w:ilvl="2" w:tentative="1">
      <w:start w:val="1"/>
      <w:numFmt w:val="bullet"/>
      <w:lvlText w:val=""/>
      <w:lvlJc w:val="left"/>
      <w:pPr>
        <w:tabs>
          <w:tab w:val="num" w:pos="3150"/>
        </w:tabs>
        <w:ind w:left="3150" w:hanging="360"/>
      </w:pPr>
      <w:rPr>
        <w:rFonts w:ascii="Symbol" w:hAnsi="Symbol" w:hint="default"/>
        <w:sz w:val="20"/>
      </w:rPr>
    </w:lvl>
    <w:lvl w:ilvl="3" w:tentative="1">
      <w:start w:val="1"/>
      <w:numFmt w:val="bullet"/>
      <w:lvlText w:val=""/>
      <w:lvlJc w:val="left"/>
      <w:pPr>
        <w:tabs>
          <w:tab w:val="num" w:pos="3870"/>
        </w:tabs>
        <w:ind w:left="3870" w:hanging="360"/>
      </w:pPr>
      <w:rPr>
        <w:rFonts w:ascii="Symbol" w:hAnsi="Symbol" w:hint="default"/>
        <w:sz w:val="20"/>
      </w:rPr>
    </w:lvl>
    <w:lvl w:ilvl="4" w:tentative="1">
      <w:start w:val="1"/>
      <w:numFmt w:val="bullet"/>
      <w:lvlText w:val=""/>
      <w:lvlJc w:val="left"/>
      <w:pPr>
        <w:tabs>
          <w:tab w:val="num" w:pos="4590"/>
        </w:tabs>
        <w:ind w:left="4590" w:hanging="360"/>
      </w:pPr>
      <w:rPr>
        <w:rFonts w:ascii="Symbol" w:hAnsi="Symbol" w:hint="default"/>
        <w:sz w:val="20"/>
      </w:rPr>
    </w:lvl>
    <w:lvl w:ilvl="5" w:tentative="1">
      <w:start w:val="1"/>
      <w:numFmt w:val="bullet"/>
      <w:lvlText w:val=""/>
      <w:lvlJc w:val="left"/>
      <w:pPr>
        <w:tabs>
          <w:tab w:val="num" w:pos="5310"/>
        </w:tabs>
        <w:ind w:left="5310" w:hanging="360"/>
      </w:pPr>
      <w:rPr>
        <w:rFonts w:ascii="Symbol" w:hAnsi="Symbol" w:hint="default"/>
        <w:sz w:val="20"/>
      </w:rPr>
    </w:lvl>
    <w:lvl w:ilvl="6" w:tentative="1">
      <w:start w:val="1"/>
      <w:numFmt w:val="bullet"/>
      <w:lvlText w:val=""/>
      <w:lvlJc w:val="left"/>
      <w:pPr>
        <w:tabs>
          <w:tab w:val="num" w:pos="6030"/>
        </w:tabs>
        <w:ind w:left="6030" w:hanging="360"/>
      </w:pPr>
      <w:rPr>
        <w:rFonts w:ascii="Symbol" w:hAnsi="Symbol" w:hint="default"/>
        <w:sz w:val="20"/>
      </w:rPr>
    </w:lvl>
    <w:lvl w:ilvl="7" w:tentative="1">
      <w:start w:val="1"/>
      <w:numFmt w:val="bullet"/>
      <w:lvlText w:val=""/>
      <w:lvlJc w:val="left"/>
      <w:pPr>
        <w:tabs>
          <w:tab w:val="num" w:pos="6750"/>
        </w:tabs>
        <w:ind w:left="6750" w:hanging="360"/>
      </w:pPr>
      <w:rPr>
        <w:rFonts w:ascii="Symbol" w:hAnsi="Symbol" w:hint="default"/>
        <w:sz w:val="20"/>
      </w:rPr>
    </w:lvl>
    <w:lvl w:ilvl="8" w:tentative="1">
      <w:start w:val="1"/>
      <w:numFmt w:val="bullet"/>
      <w:lvlText w:val=""/>
      <w:lvlJc w:val="left"/>
      <w:pPr>
        <w:tabs>
          <w:tab w:val="num" w:pos="7470"/>
        </w:tabs>
        <w:ind w:left="7470" w:hanging="360"/>
      </w:pPr>
      <w:rPr>
        <w:rFonts w:ascii="Symbol" w:hAnsi="Symbol" w:hint="default"/>
        <w:sz w:val="20"/>
      </w:rPr>
    </w:lvl>
  </w:abstractNum>
  <w:abstractNum w:abstractNumId="15" w15:restartNumberingAfterBreak="0">
    <w:nsid w:val="27260C65"/>
    <w:multiLevelType w:val="hybridMultilevel"/>
    <w:tmpl w:val="41166D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A36370"/>
    <w:multiLevelType w:val="hybridMultilevel"/>
    <w:tmpl w:val="1D5EF0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6006F8E"/>
    <w:multiLevelType w:val="hybridMultilevel"/>
    <w:tmpl w:val="CB50533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1" w15:restartNumberingAfterBreak="0">
    <w:nsid w:val="3FE2074E"/>
    <w:multiLevelType w:val="hybridMultilevel"/>
    <w:tmpl w:val="B4526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FF43A2F"/>
    <w:multiLevelType w:val="hybridMultilevel"/>
    <w:tmpl w:val="5018363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09078B"/>
    <w:multiLevelType w:val="hybridMultilevel"/>
    <w:tmpl w:val="1AAA53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5702FC7"/>
    <w:multiLevelType w:val="hybridMultilevel"/>
    <w:tmpl w:val="D1BA7B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CC4850"/>
    <w:multiLevelType w:val="multilevel"/>
    <w:tmpl w:val="E304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2820C00"/>
    <w:multiLevelType w:val="hybridMultilevel"/>
    <w:tmpl w:val="3086EE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8024F1"/>
    <w:multiLevelType w:val="hybridMultilevel"/>
    <w:tmpl w:val="E29883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593C208A"/>
    <w:multiLevelType w:val="hybridMultilevel"/>
    <w:tmpl w:val="ED64D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E5A78FF"/>
    <w:multiLevelType w:val="hybridMultilevel"/>
    <w:tmpl w:val="5AAA95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ED136CB"/>
    <w:multiLevelType w:val="hybridMultilevel"/>
    <w:tmpl w:val="97DAFB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60696188"/>
    <w:multiLevelType w:val="hybridMultilevel"/>
    <w:tmpl w:val="F56CF3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CD5F17"/>
    <w:multiLevelType w:val="hybridMultilevel"/>
    <w:tmpl w:val="9836FC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1EB079B"/>
    <w:multiLevelType w:val="hybridMultilevel"/>
    <w:tmpl w:val="F552FC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0" w15:restartNumberingAfterBreak="0">
    <w:nsid w:val="75F62666"/>
    <w:multiLevelType w:val="hybridMultilevel"/>
    <w:tmpl w:val="9C840A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D34188C"/>
    <w:multiLevelType w:val="hybridMultilevel"/>
    <w:tmpl w:val="729EB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26"/>
  </w:num>
  <w:num w:numId="3">
    <w:abstractNumId w:val="36"/>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0"/>
  </w:num>
  <w:num w:numId="8">
    <w:abstractNumId w:val="9"/>
  </w:num>
  <w:num w:numId="9">
    <w:abstractNumId w:val="5"/>
  </w:num>
  <w:num w:numId="10">
    <w:abstractNumId w:val="35"/>
  </w:num>
  <w:num w:numId="11">
    <w:abstractNumId w:val="42"/>
  </w:num>
  <w:num w:numId="12">
    <w:abstractNumId w:val="29"/>
  </w:num>
  <w:num w:numId="13">
    <w:abstractNumId w:val="3"/>
  </w:num>
  <w:num w:numId="14">
    <w:abstractNumId w:val="16"/>
  </w:num>
  <w:num w:numId="15">
    <w:abstractNumId w:val="24"/>
  </w:num>
  <w:num w:numId="16">
    <w:abstractNumId w:val="22"/>
  </w:num>
  <w:num w:numId="17">
    <w:abstractNumId w:val="1"/>
  </w:num>
  <w:num w:numId="18">
    <w:abstractNumId w:val="18"/>
  </w:num>
  <w:num w:numId="19">
    <w:abstractNumId w:val="21"/>
  </w:num>
  <w:num w:numId="20">
    <w:abstractNumId w:val="39"/>
  </w:num>
  <w:num w:numId="21">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31"/>
  </w:num>
  <w:num w:numId="24">
    <w:abstractNumId w:val="15"/>
  </w:num>
  <w:num w:numId="25">
    <w:abstractNumId w:val="14"/>
  </w:num>
  <w:num w:numId="26">
    <w:abstractNumId w:val="27"/>
  </w:num>
  <w:num w:numId="27">
    <w:abstractNumId w:val="11"/>
  </w:num>
  <w:num w:numId="28">
    <w:abstractNumId w:val="34"/>
  </w:num>
  <w:num w:numId="29">
    <w:abstractNumId w:val="28"/>
  </w:num>
  <w:num w:numId="30">
    <w:abstractNumId w:val="40"/>
  </w:num>
  <w:num w:numId="31">
    <w:abstractNumId w:val="10"/>
  </w:num>
  <w:num w:numId="32">
    <w:abstractNumId w:val="8"/>
  </w:num>
  <w:num w:numId="33">
    <w:abstractNumId w:val="7"/>
  </w:num>
  <w:num w:numId="34">
    <w:abstractNumId w:val="0"/>
  </w:num>
  <w:num w:numId="35">
    <w:abstractNumId w:val="13"/>
  </w:num>
  <w:num w:numId="36">
    <w:abstractNumId w:val="32"/>
  </w:num>
  <w:num w:numId="37">
    <w:abstractNumId w:val="6"/>
  </w:num>
  <w:num w:numId="38">
    <w:abstractNumId w:val="19"/>
  </w:num>
  <w:num w:numId="39">
    <w:abstractNumId w:val="41"/>
  </w:num>
  <w:num w:numId="40">
    <w:abstractNumId w:val="12"/>
  </w:num>
  <w:num w:numId="41">
    <w:abstractNumId w:val="33"/>
  </w:num>
  <w:num w:numId="42">
    <w:abstractNumId w:val="25"/>
  </w:num>
  <w:num w:numId="43">
    <w:abstractNumId w:val="30"/>
  </w:num>
  <w:num w:numId="44">
    <w:abstractNumId w:val="4"/>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3F4C"/>
    <w:rsid w:val="00040E0E"/>
    <w:rsid w:val="000540FD"/>
    <w:rsid w:val="000551DE"/>
    <w:rsid w:val="00057F10"/>
    <w:rsid w:val="000633A2"/>
    <w:rsid w:val="00071EB4"/>
    <w:rsid w:val="00077298"/>
    <w:rsid w:val="000A58A1"/>
    <w:rsid w:val="000A6659"/>
    <w:rsid w:val="000B0E6F"/>
    <w:rsid w:val="000B6DBB"/>
    <w:rsid w:val="000D1056"/>
    <w:rsid w:val="000D2BF2"/>
    <w:rsid w:val="000D5870"/>
    <w:rsid w:val="000F65C0"/>
    <w:rsid w:val="001037C0"/>
    <w:rsid w:val="001208EB"/>
    <w:rsid w:val="00142155"/>
    <w:rsid w:val="0016013C"/>
    <w:rsid w:val="0018092C"/>
    <w:rsid w:val="00183438"/>
    <w:rsid w:val="00187AE5"/>
    <w:rsid w:val="00191726"/>
    <w:rsid w:val="001918DD"/>
    <w:rsid w:val="001939BA"/>
    <w:rsid w:val="001A4E0D"/>
    <w:rsid w:val="001A6EB0"/>
    <w:rsid w:val="001B441D"/>
    <w:rsid w:val="001C1247"/>
    <w:rsid w:val="001C5225"/>
    <w:rsid w:val="001C6F48"/>
    <w:rsid w:val="001D5E83"/>
    <w:rsid w:val="001E0219"/>
    <w:rsid w:val="002076EC"/>
    <w:rsid w:val="00213BE7"/>
    <w:rsid w:val="00220D36"/>
    <w:rsid w:val="00231A1D"/>
    <w:rsid w:val="00244120"/>
    <w:rsid w:val="00261C5E"/>
    <w:rsid w:val="00267CEB"/>
    <w:rsid w:val="00293F9F"/>
    <w:rsid w:val="00294964"/>
    <w:rsid w:val="002A20F3"/>
    <w:rsid w:val="002A2389"/>
    <w:rsid w:val="002A2C3A"/>
    <w:rsid w:val="002A66B4"/>
    <w:rsid w:val="002B4AF4"/>
    <w:rsid w:val="002C0432"/>
    <w:rsid w:val="002C08E2"/>
    <w:rsid w:val="002C1794"/>
    <w:rsid w:val="002D2FC5"/>
    <w:rsid w:val="002E1AF6"/>
    <w:rsid w:val="002E6637"/>
    <w:rsid w:val="002E77E3"/>
    <w:rsid w:val="00313E7C"/>
    <w:rsid w:val="00332947"/>
    <w:rsid w:val="00333EB4"/>
    <w:rsid w:val="00345915"/>
    <w:rsid w:val="00365D29"/>
    <w:rsid w:val="00367CCA"/>
    <w:rsid w:val="00374F22"/>
    <w:rsid w:val="003A1F10"/>
    <w:rsid w:val="003D271D"/>
    <w:rsid w:val="003D2FFE"/>
    <w:rsid w:val="00400032"/>
    <w:rsid w:val="0042394B"/>
    <w:rsid w:val="00440519"/>
    <w:rsid w:val="00443912"/>
    <w:rsid w:val="004578DE"/>
    <w:rsid w:val="00473B08"/>
    <w:rsid w:val="00474B5F"/>
    <w:rsid w:val="004A3CE6"/>
    <w:rsid w:val="004A4A1D"/>
    <w:rsid w:val="004A6EB1"/>
    <w:rsid w:val="004B2C2F"/>
    <w:rsid w:val="004B2C9D"/>
    <w:rsid w:val="004B4A47"/>
    <w:rsid w:val="004B6242"/>
    <w:rsid w:val="004C00FA"/>
    <w:rsid w:val="004E667D"/>
    <w:rsid w:val="004E6AF9"/>
    <w:rsid w:val="004E7921"/>
    <w:rsid w:val="004F5555"/>
    <w:rsid w:val="004F58B2"/>
    <w:rsid w:val="004F7B24"/>
    <w:rsid w:val="005031DF"/>
    <w:rsid w:val="005203E2"/>
    <w:rsid w:val="00525803"/>
    <w:rsid w:val="00536C53"/>
    <w:rsid w:val="00567D42"/>
    <w:rsid w:val="00587878"/>
    <w:rsid w:val="00587BBB"/>
    <w:rsid w:val="00597314"/>
    <w:rsid w:val="005A293A"/>
    <w:rsid w:val="005A61AF"/>
    <w:rsid w:val="005D0886"/>
    <w:rsid w:val="005D3267"/>
    <w:rsid w:val="005E384D"/>
    <w:rsid w:val="005F2181"/>
    <w:rsid w:val="005F724B"/>
    <w:rsid w:val="00610ADC"/>
    <w:rsid w:val="00621101"/>
    <w:rsid w:val="00625DFF"/>
    <w:rsid w:val="0063072B"/>
    <w:rsid w:val="00637BD9"/>
    <w:rsid w:val="006513A6"/>
    <w:rsid w:val="00662891"/>
    <w:rsid w:val="006628B7"/>
    <w:rsid w:val="00664B3D"/>
    <w:rsid w:val="00675FCB"/>
    <w:rsid w:val="00676403"/>
    <w:rsid w:val="006A6A65"/>
    <w:rsid w:val="006B095C"/>
    <w:rsid w:val="006B3532"/>
    <w:rsid w:val="006B3942"/>
    <w:rsid w:val="006B432E"/>
    <w:rsid w:val="006B5B52"/>
    <w:rsid w:val="006C3914"/>
    <w:rsid w:val="006D3648"/>
    <w:rsid w:val="007157B1"/>
    <w:rsid w:val="0074184E"/>
    <w:rsid w:val="00743829"/>
    <w:rsid w:val="00755F8D"/>
    <w:rsid w:val="0075614B"/>
    <w:rsid w:val="0075787A"/>
    <w:rsid w:val="0077422A"/>
    <w:rsid w:val="007853C7"/>
    <w:rsid w:val="00796503"/>
    <w:rsid w:val="007A5C98"/>
    <w:rsid w:val="007C335E"/>
    <w:rsid w:val="007D2BDA"/>
    <w:rsid w:val="007D4143"/>
    <w:rsid w:val="007D56C8"/>
    <w:rsid w:val="007E3934"/>
    <w:rsid w:val="007E7303"/>
    <w:rsid w:val="007F1D9E"/>
    <w:rsid w:val="00811B29"/>
    <w:rsid w:val="008212A0"/>
    <w:rsid w:val="00837F53"/>
    <w:rsid w:val="008857AA"/>
    <w:rsid w:val="008A25CA"/>
    <w:rsid w:val="008A6E38"/>
    <w:rsid w:val="008A711D"/>
    <w:rsid w:val="008A750D"/>
    <w:rsid w:val="008D1750"/>
    <w:rsid w:val="008D7800"/>
    <w:rsid w:val="008E0764"/>
    <w:rsid w:val="008E2910"/>
    <w:rsid w:val="008E4913"/>
    <w:rsid w:val="008E6C0C"/>
    <w:rsid w:val="008F0193"/>
    <w:rsid w:val="00900464"/>
    <w:rsid w:val="0090100E"/>
    <w:rsid w:val="00901579"/>
    <w:rsid w:val="00912904"/>
    <w:rsid w:val="0093767E"/>
    <w:rsid w:val="0094738A"/>
    <w:rsid w:val="00947816"/>
    <w:rsid w:val="00953FF1"/>
    <w:rsid w:val="00972A02"/>
    <w:rsid w:val="0099517C"/>
    <w:rsid w:val="009A0937"/>
    <w:rsid w:val="009B2ECD"/>
    <w:rsid w:val="009B7914"/>
    <w:rsid w:val="009D6239"/>
    <w:rsid w:val="009F430B"/>
    <w:rsid w:val="00A160B2"/>
    <w:rsid w:val="00A360D6"/>
    <w:rsid w:val="00A526B0"/>
    <w:rsid w:val="00A566E7"/>
    <w:rsid w:val="00A845EF"/>
    <w:rsid w:val="00A940D3"/>
    <w:rsid w:val="00A96FCA"/>
    <w:rsid w:val="00AA4BE8"/>
    <w:rsid w:val="00AA5187"/>
    <w:rsid w:val="00AC0AAB"/>
    <w:rsid w:val="00AC7BA9"/>
    <w:rsid w:val="00AE3DBB"/>
    <w:rsid w:val="00B0425E"/>
    <w:rsid w:val="00B65B5A"/>
    <w:rsid w:val="00B7289A"/>
    <w:rsid w:val="00B77788"/>
    <w:rsid w:val="00B900E2"/>
    <w:rsid w:val="00B9118E"/>
    <w:rsid w:val="00BD6115"/>
    <w:rsid w:val="00BD684A"/>
    <w:rsid w:val="00BE0E66"/>
    <w:rsid w:val="00BE44C6"/>
    <w:rsid w:val="00BE75CB"/>
    <w:rsid w:val="00BF4BCB"/>
    <w:rsid w:val="00C175FB"/>
    <w:rsid w:val="00C305BC"/>
    <w:rsid w:val="00C32724"/>
    <w:rsid w:val="00C32DAE"/>
    <w:rsid w:val="00C40E24"/>
    <w:rsid w:val="00C43296"/>
    <w:rsid w:val="00C507F1"/>
    <w:rsid w:val="00C55540"/>
    <w:rsid w:val="00C55790"/>
    <w:rsid w:val="00C61B80"/>
    <w:rsid w:val="00C63471"/>
    <w:rsid w:val="00C753BA"/>
    <w:rsid w:val="00C76335"/>
    <w:rsid w:val="00C8466F"/>
    <w:rsid w:val="00C86C79"/>
    <w:rsid w:val="00C92D9A"/>
    <w:rsid w:val="00C96EF5"/>
    <w:rsid w:val="00CD671A"/>
    <w:rsid w:val="00CE060C"/>
    <w:rsid w:val="00CE4DD2"/>
    <w:rsid w:val="00D24343"/>
    <w:rsid w:val="00D25064"/>
    <w:rsid w:val="00D264C1"/>
    <w:rsid w:val="00D32B51"/>
    <w:rsid w:val="00D33D75"/>
    <w:rsid w:val="00D34668"/>
    <w:rsid w:val="00D3740E"/>
    <w:rsid w:val="00D40335"/>
    <w:rsid w:val="00D41527"/>
    <w:rsid w:val="00D52A99"/>
    <w:rsid w:val="00D56CAE"/>
    <w:rsid w:val="00D76680"/>
    <w:rsid w:val="00D80B14"/>
    <w:rsid w:val="00D82F57"/>
    <w:rsid w:val="00D841A5"/>
    <w:rsid w:val="00D86EDB"/>
    <w:rsid w:val="00D914D2"/>
    <w:rsid w:val="00DA25DB"/>
    <w:rsid w:val="00DB0791"/>
    <w:rsid w:val="00DD0045"/>
    <w:rsid w:val="00DD4251"/>
    <w:rsid w:val="00DD6270"/>
    <w:rsid w:val="00DE2574"/>
    <w:rsid w:val="00DE34A4"/>
    <w:rsid w:val="00E02B50"/>
    <w:rsid w:val="00E03F11"/>
    <w:rsid w:val="00E06DC8"/>
    <w:rsid w:val="00E220B5"/>
    <w:rsid w:val="00E26945"/>
    <w:rsid w:val="00E31DE8"/>
    <w:rsid w:val="00E33D93"/>
    <w:rsid w:val="00E34BF1"/>
    <w:rsid w:val="00E609EF"/>
    <w:rsid w:val="00E726EA"/>
    <w:rsid w:val="00E72DC9"/>
    <w:rsid w:val="00E76ED9"/>
    <w:rsid w:val="00E8515B"/>
    <w:rsid w:val="00E86E38"/>
    <w:rsid w:val="00E90AFF"/>
    <w:rsid w:val="00EA0DB3"/>
    <w:rsid w:val="00EC23C5"/>
    <w:rsid w:val="00EC3C2C"/>
    <w:rsid w:val="00EF2F91"/>
    <w:rsid w:val="00F07376"/>
    <w:rsid w:val="00F13423"/>
    <w:rsid w:val="00F33EE3"/>
    <w:rsid w:val="00F34CBC"/>
    <w:rsid w:val="00F4213B"/>
    <w:rsid w:val="00F479B3"/>
    <w:rsid w:val="00F558A6"/>
    <w:rsid w:val="00F849ED"/>
    <w:rsid w:val="00F92398"/>
    <w:rsid w:val="00F93553"/>
    <w:rsid w:val="00FC6D76"/>
    <w:rsid w:val="00FD31A0"/>
    <w:rsid w:val="00FE5347"/>
    <w:rsid w:val="00FF5D5C"/>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styleId="NormalWeb">
    <w:name w:val="Normal (Web)"/>
    <w:basedOn w:val="Normal"/>
    <w:uiPriority w:val="99"/>
    <w:semiHidden/>
    <w:unhideWhenUsed/>
    <w:rsid w:val="00953FF1"/>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482544">
      <w:bodyDiv w:val="1"/>
      <w:marLeft w:val="0"/>
      <w:marRight w:val="0"/>
      <w:marTop w:val="0"/>
      <w:marBottom w:val="0"/>
      <w:divBdr>
        <w:top w:val="none" w:sz="0" w:space="0" w:color="auto"/>
        <w:left w:val="none" w:sz="0" w:space="0" w:color="auto"/>
        <w:bottom w:val="none" w:sz="0" w:space="0" w:color="auto"/>
        <w:right w:val="none" w:sz="0" w:space="0" w:color="auto"/>
      </w:divBdr>
    </w:div>
    <w:div w:id="1231575277">
      <w:bodyDiv w:val="1"/>
      <w:marLeft w:val="0"/>
      <w:marRight w:val="0"/>
      <w:marTop w:val="0"/>
      <w:marBottom w:val="0"/>
      <w:divBdr>
        <w:top w:val="none" w:sz="0" w:space="0" w:color="auto"/>
        <w:left w:val="none" w:sz="0" w:space="0" w:color="auto"/>
        <w:bottom w:val="none" w:sz="0" w:space="0" w:color="auto"/>
        <w:right w:val="none" w:sz="0" w:space="0" w:color="auto"/>
      </w:divBdr>
    </w:div>
    <w:div w:id="1334528194">
      <w:bodyDiv w:val="1"/>
      <w:marLeft w:val="0"/>
      <w:marRight w:val="0"/>
      <w:marTop w:val="0"/>
      <w:marBottom w:val="0"/>
      <w:divBdr>
        <w:top w:val="none" w:sz="0" w:space="0" w:color="auto"/>
        <w:left w:val="none" w:sz="0" w:space="0" w:color="auto"/>
        <w:bottom w:val="none" w:sz="0" w:space="0" w:color="auto"/>
        <w:right w:val="none" w:sz="0" w:space="0" w:color="auto"/>
      </w:divBdr>
    </w:div>
    <w:div w:id="1787118949">
      <w:bodyDiv w:val="1"/>
      <w:marLeft w:val="0"/>
      <w:marRight w:val="0"/>
      <w:marTop w:val="0"/>
      <w:marBottom w:val="0"/>
      <w:divBdr>
        <w:top w:val="none" w:sz="0" w:space="0" w:color="auto"/>
        <w:left w:val="none" w:sz="0" w:space="0" w:color="auto"/>
        <w:bottom w:val="none" w:sz="0" w:space="0" w:color="auto"/>
        <w:right w:val="none" w:sz="0" w:space="0" w:color="auto"/>
      </w:divBdr>
    </w:div>
    <w:div w:id="1916744400">
      <w:bodyDiv w:val="1"/>
      <w:marLeft w:val="0"/>
      <w:marRight w:val="0"/>
      <w:marTop w:val="0"/>
      <w:marBottom w:val="0"/>
      <w:divBdr>
        <w:top w:val="none" w:sz="0" w:space="0" w:color="auto"/>
        <w:left w:val="none" w:sz="0" w:space="0" w:color="auto"/>
        <w:bottom w:val="none" w:sz="0" w:space="0" w:color="auto"/>
        <w:right w:val="none" w:sz="0" w:space="0" w:color="auto"/>
      </w:divBdr>
    </w:div>
    <w:div w:id="20839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remy.randall@harrow.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1437</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9147</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Nikoleta Kemp</cp:lastModifiedBy>
  <cp:revision>8</cp:revision>
  <cp:lastPrinted>2007-07-12T09:53:00Z</cp:lastPrinted>
  <dcterms:created xsi:type="dcterms:W3CDTF">2022-11-17T18:02:00Z</dcterms:created>
  <dcterms:modified xsi:type="dcterms:W3CDTF">2022-11-22T10:38:00Z</dcterms:modified>
</cp:coreProperties>
</file>